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**ID__AFFARS_AFFARS_PGI_5334__ID**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5334</w:t>
      </w:r>
      <w:r>
        <w:rPr>
          <w:rFonts w:ascii="Times New Roman" w:hAnsi="Times New Roman"/>
          <w:color w:val="000000"/>
          <w:sz w:val="48"/>
        </w:rPr>
        <w:t xml:space="preserve"> Major System Acquisition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5334 Service Contracting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5334.2 – Earned Value Management System (EVMS)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5334.203 – Solicitation provision and contract clause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MC_PGI_5334.dita#AFFARS_SMC_PGI_5334" Type="http://schemas.openxmlformats.org/officeDocument/2006/relationships/hyperlink" Id="rId4"/>
    <Relationship TargetMode="External" Target="SMC_PGI_5334_2.dita#AFFARS_SMC_PGI_5334_2" Type="http://schemas.openxmlformats.org/officeDocument/2006/relationships/hyperlink" Id="rId5"/>
    <Relationship TargetMode="External" Target="SMC_PGI_5334_203.dita#AFFARS_SMC_PGI_5334_203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