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**ID__AFFARS_AFFARS_PGI_5336__ID**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5336</w:t>
      </w:r>
      <w:r>
        <w:rPr>
          <w:rFonts w:ascii="Times New Roman" w:hAnsi="Times New Roman"/>
          <w:color w:val="000000"/>
          <w:sz w:val="48"/>
        </w:rPr>
        <w:t xml:space="preserve"> Construction and Architect-Engineer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 Construction and Architect-Engineer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5336.9001 Forms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5336.9002 Air Force Construction Guide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36.dita#AFFARS_AF_PGI_5336" Type="http://schemas.openxmlformats.org/officeDocument/2006/relationships/hyperlink" Id="rId4"/>
    <Relationship TargetMode="External" Target="AF_PGI_5336_9001.dita#AFFARS_AF_PGI_5336_9001" Type="http://schemas.openxmlformats.org/officeDocument/2006/relationships/hyperlink" Id="rId5"/>
    <Relationship TargetMode="External" Target="AF_PGI_5336_9002.dita#AFFARS_AF_PGI_5336_900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