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**ID__AFFARS_pgi_5337_topic_5__ID**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5337.102-90</w:t>
      </w:r>
      <w:r>
        <w:rPr>
          <w:rFonts w:ascii="Times New Roman" w:hAnsi="Times New Roman"/>
          <w:color w:val="000000"/>
          <w:sz w:val="31"/>
        </w:rPr>
        <w:t xml:space="preserve"> Suggested Contract Language for Maintenance, Overhaul, and Modification</w:t>
      </w:r>
    </w:p>
    <w:p>
      <w:pPr>
        <w:pBdr>
          <w:top w:space="5"/>
          <w:left w:space="5"/>
          <w:bottom w:space="5"/>
          <w:right w:space="5"/>
        </w:pBdr>
        <w:spacing w:after="0"/>
        <w:ind w:left="225"/>
        <w:jc w:val="left"/>
      </w:pPr>
      <w:r>
        <w:rPr>
          <w:rFonts w:ascii="Times New Roman" w:hAnsi="Times New Roman"/>
          <w:b w:val="false"/>
          <w:i w:val="false"/>
          <w:color w:val="000000"/>
          <w:sz w:val="22"/>
        </w:rPr>
        <w:t>(a)</w:t>
      </w:r>
      <w:r>
        <w:rPr>
          <w:rFonts w:ascii="Times New Roman" w:hAnsi="Times New Roman"/>
          <w:b w:val="false"/>
          <w:i w:val="false"/>
          <w:color w:val="000000"/>
          <w:sz w:val="22"/>
        </w:rP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Bdr>
          <w:top w:space="5"/>
          <w:left w:space="5"/>
          <w:bottom w:space="5"/>
          <w:right w:space="5"/>
        </w:pBdr>
        <w:spacing w:after="0"/>
        <w:ind w:left="225"/>
        <w:jc w:val="left"/>
      </w:pPr>
      <w:r>
        <w:rPr>
          <w:rFonts w:ascii="Times New Roman" w:hAnsi="Times New Roman"/>
          <w:b w:val="false"/>
          <w:i w:val="false"/>
          <w:color w:val="000000"/>
          <w:sz w:val="22"/>
        </w:rP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Bdr>
          <w:top w:space="5"/>
          <w:left w:space="5"/>
          <w:bottom w:space="5"/>
          <w:right w:space="5"/>
        </w:pBdr>
        <w:spacing w:after="0"/>
        <w:ind w:left="225"/>
        <w:jc w:val="left"/>
      </w:pPr>
      <w:r>
        <w:rPr>
          <w:rFonts w:ascii="Times New Roman" w:hAnsi="Times New Roman"/>
          <w:b w:val="false"/>
          <w:i/>
          <w:color w:val="000000"/>
          <w:sz w:val="22"/>
        </w:rPr>
        <w:t>MAINTENANCE OF GOVERNMENT OWNED EQUIPMENT IN POSSESSION OF OVERSEAS CONTRACTORS</w:t>
      </w:r>
    </w:p>
    <w:p>
      <w:pPr>
        <w:pBdr>
          <w:top w:space="5"/>
          <w:left w:space="5"/>
          <w:bottom w:space="5"/>
          <w:right w:space="5"/>
        </w:pBdr>
        <w:spacing w:after="0"/>
        <w:ind w:left="225"/>
        <w:jc w:val="left"/>
      </w:pPr>
      <w:r>
        <w:rPr>
          <w:rFonts w:ascii="Times New Roman" w:hAnsi="Times New Roman"/>
          <w:b w:val="false"/>
          <w:i/>
          <w:color w:val="000000"/>
          <w:sz w:val="22"/>
        </w:rPr>
        <w:t>Normal maintenance of Government-owned equipment provided hereunder or used in the performance hereof may require parts not available in local markets. The Contractor may requisition any of such parts as are available through the Government supply system after the contracting officer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