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**ID__AFFARS_AFMC_PGI_5337_102_91__ID**</w:t>
      </w:r>
    </w:p>
    <w:p>
      <w:pPr>
        <w:pStyle w:val="Heading3"/>
        <w:spacing w:after="199"/>
        <w:ind w:left="120"/>
        <w:jc w:val="left"/>
      </w:pPr>
      <w:r>
        <w:rPr>
          <w:rFonts w:ascii="Times New Roman" w:hAnsi="Times New Roman"/>
          <w:color w:val="000000"/>
          <w:sz w:val="31"/>
        </w:rPr>
        <w:t>AFMC PGI 5337.102-91</w:t>
      </w:r>
      <w:r>
        <w:rPr>
          <w:rFonts w:ascii="Times New Roman" w:hAnsi="Times New Roman"/>
          <w:color w:val="000000"/>
          <w:sz w:val="31"/>
        </w:rPr>
        <w:t xml:space="preserve"> Solicitation Evaluation Procedures for AFMC Maintenance, Overhaul, and Modification</w:t>
      </w:r>
    </w:p>
    <w:p>
      <w:pPr>
        <w:pBdr>
          <w:top w:space="5"/>
          <w:left w:space="5"/>
          <w:bottom w:space="5"/>
          <w:right w:space="5"/>
        </w:pBdr>
        <w:spacing w:after="0"/>
        <w:ind w:left="225"/>
        <w:jc w:val="left"/>
      </w:pPr>
      <w:r>
        <w:rPr>
          <w:rFonts w:ascii="Times New Roman" w:hAnsi="Times New Roman"/>
          <w:b w:val="false"/>
          <w:i w:val="false"/>
          <w:color w:val="000000"/>
          <w:sz w:val="22"/>
        </w:rP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p>
    <w:p>
      <w:pPr>
        <w:pBdr>
          <w:top w:space="5"/>
          <w:left w:space="5"/>
          <w:bottom w:space="5"/>
          <w:right w:space="5"/>
        </w:pBdr>
        <w:spacing w:after="0"/>
        <w:ind w:left="225"/>
        <w:jc w:val="left"/>
      </w:pPr>
      <w:r>
        <w:rPr>
          <w:rFonts w:ascii="Times New Roman" w:hAnsi="Times New Roman"/>
          <w:b w:val="false"/>
          <w:i/>
          <w:color w:val="000000"/>
          <w:sz w:val="22"/>
        </w:rPr>
        <w:t>EVALUATION OF OVER AND ABOVE WORK</w:t>
      </w:r>
    </w:p>
    <w:p>
      <w:pPr>
        <w:pBdr>
          <w:top w:space="5"/>
          <w:left w:space="5"/>
          <w:bottom w:space="5"/>
          <w:right w:space="5"/>
        </w:pBdr>
        <w:spacing w:after="0"/>
        <w:ind w:left="225"/>
        <w:jc w:val="left"/>
      </w:pPr>
      <w:r>
        <w:rPr>
          <w:rFonts w:ascii="Times New Roman" w:hAnsi="Times New Roman"/>
          <w:b w:val="false"/>
          <w:i/>
          <w:color w:val="000000"/>
          <w:sz w:val="22"/>
        </w:rPr>
        <w:t>For evaluation purposes, the estimated "Over and Above"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pPr>
        <w:pBdr>
          <w:top w:space="5"/>
          <w:left w:space="5"/>
          <w:bottom w:space="5"/>
          <w:right w:space="5"/>
        </w:pBdr>
        <w:spacing w:after="0"/>
        <w:ind w:left="225"/>
        <w:jc w:val="left"/>
      </w:pPr>
      <w:r>
        <w:rPr>
          <w:rFonts w:ascii="Times New Roman" w:hAnsi="Times New Roman"/>
          <w:b w:val="false"/>
          <w:i w:val="false"/>
          <w:color w:val="000000"/>
          <w:sz w:val="22"/>
        </w:rPr>
        <w:t>(b) The requirements office shall determine the man-hour estimates used for evaluation, based on estimates of all factors including previous organic and contractor experience.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may include the following suggested contract language substantially as written in Section M for maintenance, repair, overhaul, and modification indefinite quantity and requirements solicitations that include a Best Estimated Quantity:</w:t>
      </w:r>
    </w:p>
    <w:p>
      <w:pPr>
        <w:pBdr>
          <w:top w:space="5"/>
          <w:left w:space="5"/>
          <w:bottom w:space="5"/>
          <w:right w:space="5"/>
        </w:pBdr>
        <w:spacing w:after="0"/>
        <w:ind w:left="225"/>
        <w:jc w:val="left"/>
      </w:pPr>
      <w:r>
        <w:rPr>
          <w:rFonts w:ascii="Times New Roman" w:hAnsi="Times New Roman"/>
          <w:b w:val="false"/>
          <w:i/>
          <w:color w:val="000000"/>
          <w:sz w:val="22"/>
        </w:rPr>
        <w:t>EVALUATION OF OFFERS</w:t>
      </w:r>
    </w:p>
    <w:p>
      <w:pPr>
        <w:pBdr>
          <w:top w:space="5"/>
          <w:left w:space="5"/>
          <w:bottom w:space="5"/>
          <w:right w:space="5"/>
        </w:pBdr>
        <w:spacing w:after="0"/>
        <w:ind w:left="225"/>
        <w:jc w:val="left"/>
      </w:pPr>
      <w:r>
        <w:rPr>
          <w:rFonts w:ascii="Times New Roman" w:hAnsi="Times New Roman"/>
          <w:b w:val="false"/>
          <w:i/>
          <w:color w:val="000000"/>
          <w:sz w:val="22"/>
        </w:rPr>
        <w:t>Offers shall be evaluated on the basis of the unit prices offered for the quantity designated as the best estimated quantity in the schedule for (insert item(s)) by multiplying the proposed price(s) by the best estimated quantity(s).</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may include the following suggested contract language substantially as written in Section M when the Government will evaluate the cost associated with relocating government furnished property from the incumbent contractor's facility:</w:t>
      </w:r>
    </w:p>
    <w:p>
      <w:pPr>
        <w:pBdr>
          <w:top w:space="5"/>
          <w:left w:space="5"/>
          <w:bottom w:space="5"/>
          <w:right w:space="5"/>
        </w:pBdr>
        <w:spacing w:after="0"/>
        <w:ind w:left="225"/>
        <w:jc w:val="left"/>
      </w:pPr>
      <w:r>
        <w:rPr>
          <w:rFonts w:ascii="Times New Roman" w:hAnsi="Times New Roman"/>
          <w:b w:val="false"/>
          <w:i/>
          <w:color w:val="000000"/>
          <w:sz w:val="22"/>
        </w:rPr>
        <w:t>EVALUATION OF OFFERS - MOVEMENT OF GOVERNMENT-FURNISHED PROPERTY</w:t>
      </w:r>
    </w:p>
    <w:p>
      <w:pPr>
        <w:pBdr>
          <w:top w:space="5"/>
          <w:left w:space="5"/>
          <w:bottom w:space="5"/>
          <w:right w:space="5"/>
        </w:pBdr>
        <w:spacing w:after="0"/>
        <w:ind w:left="225"/>
        <w:jc w:val="left"/>
      </w:pPr>
      <w:r>
        <w:rPr>
          <w:rFonts w:ascii="Times New Roman" w:hAnsi="Times New Roman"/>
          <w:b w:val="false"/>
          <w:i/>
          <w:color w:val="000000"/>
          <w:sz w:val="22"/>
        </w:rPr>
        <w:t>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w:t>
      </w:r>
    </w:p>
    <w:p>
      <w:pPr>
        <w:pBdr>
          <w:top w:space="5"/>
          <w:left w:space="5"/>
          <w:bottom w:space="5"/>
          <w:right w:space="5"/>
        </w:pBdr>
        <w:spacing w:after="0"/>
        <w:ind w:left="225"/>
        <w:jc w:val="left"/>
      </w:pPr>
      <w:r>
        <w:rPr>
          <w:rFonts w:ascii="Times New Roman" w:hAnsi="Times New Roman"/>
          <w:b w:val="false"/>
          <w:i w:val="false"/>
          <w:color w:val="000000"/>
          <w:sz w:val="22"/>
        </w:rPr>
        <w:t>(e) Transportation costs for any additional government-furnished property not resident at the incumbent contractor's facility shall be evaluated based on the estimated cost of transportation from the applicable Government installation to the contractor's facility.</w:t>
      </w:r>
    </w:p>
    <w:p>
      <w:pPr>
        <w:pBdr>
          <w:top w:space="5"/>
          <w:left w:space="5"/>
          <w:bottom w:space="5"/>
          <w:right w:space="5"/>
        </w:pBdr>
        <w:spacing w:after="0"/>
        <w:ind w:left="225"/>
        <w:jc w:val="left"/>
      </w:pPr>
      <w:r>
        <w:rPr>
          <w:rFonts w:ascii="Times New Roman" w:hAnsi="Times New Roman"/>
          <w:b w:val="false"/>
          <w:i w:val="false"/>
          <w:color w:val="000000"/>
          <w:sz w:val="22"/>
        </w:rPr>
        <w:t>(f) The contracting officer may include the following suggested contract language substantially as written in Section M when the Government shall evaluate transportation cost based on multiple points of generation:</w:t>
      </w:r>
    </w:p>
    <w:p>
      <w:pPr>
        <w:pBdr>
          <w:top w:space="5"/>
          <w:left w:space="5"/>
          <w:bottom w:space="5"/>
          <w:right w:space="5"/>
        </w:pBdr>
        <w:spacing w:after="0"/>
        <w:ind w:left="225"/>
        <w:jc w:val="left"/>
      </w:pPr>
      <w:r>
        <w:rPr>
          <w:rFonts w:ascii="Times New Roman" w:hAnsi="Times New Roman"/>
          <w:b w:val="false"/>
          <w:i/>
          <w:color w:val="000000"/>
          <w:sz w:val="22"/>
        </w:rPr>
        <w:t>EVALUATION OF OFFERS-TRANSPORTATION COST</w:t>
      </w:r>
    </w:p>
    <w:p>
      <w:pPr>
        <w:pBdr>
          <w:top w:space="5"/>
          <w:left w:space="5"/>
          <w:bottom w:space="5"/>
          <w:right w:space="5"/>
        </w:pBdr>
        <w:spacing w:after="0"/>
        <w:ind w:left="225"/>
        <w:jc w:val="left"/>
      </w:pPr>
      <w:r>
        <w:rPr>
          <w:rFonts w:ascii="Times New Roman" w:hAnsi="Times New Roman"/>
          <w:b w:val="false"/>
          <w:i/>
          <w:color w:val="000000"/>
          <w:sz w:val="22"/>
        </w:rPr>
        <w:t>For evaluation purposes the government shall add a cost factor for transportation to all offers based on the distances between point(s) of destination as follows:</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the point(s) of generation and;</w:t>
      </w:r>
    </w:p>
    <w:p>
      <w:pPr>
        <w:pBdr>
          <w:top w:space="5"/>
          <w:left w:space="5"/>
          <w:bottom w:space="5"/>
          <w:right w:space="5"/>
        </w:pBdr>
        <w:spacing w:after="0"/>
        <w:ind w:left="225"/>
        <w:jc w:val="left"/>
      </w:pPr>
      <w:r>
        <w:rPr>
          <w:rFonts w:ascii="Times New Roman" w:hAnsi="Times New Roman"/>
          <w:b w:val="false"/>
          <w:i/>
          <w:color w:val="000000"/>
          <w:sz w:val="22"/>
        </w:rPr>
        <w:t>Transportation cost for (insert item(s)) will be evaluated on the basis of estimates of probable points of generation in the field, to the contractor's facilities and return to (e.g., Hill AFB).</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