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**ID__AFFARS_pgi_5337_topic_7__ID**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5337.110-90</w:t>
      </w:r>
      <w:r>
        <w:rPr>
          <w:rFonts w:ascii="Times New Roman" w:hAnsi="Times New Roman"/>
          <w:color w:val="000000"/>
          <w:sz w:val="31"/>
        </w:rPr>
        <w:t xml:space="preserve"> Solicitation Suggested Contract Language</w:t>
      </w:r>
    </w:p>
    <w:p>
      <w:pPr>
        <w:pBdr>
          <w:top w:space="5"/>
          <w:left w:space="5"/>
          <w:bottom w:space="5"/>
          <w:right w:space="5"/>
        </w:pBdr>
        <w:spacing w:after="0"/>
        <w:ind w:left="225"/>
        <w:jc w:val="left"/>
      </w:pPr>
      <w:r>
        <w:rPr>
          <w:rFonts w:ascii="Times New Roman" w:hAnsi="Times New Roman"/>
          <w:b w:val="false"/>
          <w:i w:val="false"/>
          <w:color w:val="000000"/>
          <w:sz w:val="22"/>
        </w:rPr>
        <w:t>Contracting Officer ensure contract holidays to be observed under the contract are established in the Statement of Work, Performance Work Statement or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