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**ID__AFFARS_pgi_5337_topic_11__ID**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USAFA PGI 5337.503-90</w:t>
      </w:r>
      <w:r>
        <w:rPr>
          <w:rFonts w:ascii="Times New Roman" w:hAnsi="Times New Roman"/>
          <w:color w:val="000000"/>
          <w:sz w:val="31"/>
        </w:rPr>
        <w:t xml:space="preserve"> Management and Oversight of the Acquisition of Services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The USAFA Services Designated Official (SDO) authority is delegated as noted below. Note, the SDO may further delegate Acquisition Plan approval authority to one level above the contracting officer.</w:t>
      </w:r>
    </w:p>
    <w:tbl>
      <w:tblPr>
        <w:tblW w:w="0" w:type="auto"/>
        <w:tblCellSpacing w:w="10" w:type="dxa"/>
        <w:tblInd w:w="115" w:type="dxa"/>
        <w:tblBorders>
          <w:top w:val="inset" w:color="000000" w:sz="8"/>
          <w:left w:val="inset" w:color="000000" w:sz="8"/>
          <w:bottom w:val="inset" w:color="000000" w:sz="8"/>
          <w:right w:val="inset" w:color="000000" w:sz="8"/>
          <w:insideH w:val="none"/>
          <w:insideV w:val="none"/>
        </w:tblBorders>
      </w:tblPr>
      <w:tblGrid>
        <w:gridCol w:w="4487"/>
        <w:gridCol w:w="9087"/>
      </w:tblGrid>
      <w:tr>
        <w:trPr>
          <w:trHeight w:val="540" w:hRule="atLeast"/>
        </w:trPr>
        <w:tc>
          <w:tcPr>
            <w:tcW w:w="44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/>
                <w:i w:val="false"/>
                <w:color w:val="000000"/>
                <w:sz w:val="22"/>
              </w:rPr>
              <w:t>Services Category/Threshold</w:t>
            </w:r>
          </w:p>
        </w:tc>
        <w:tc>
          <w:tcPr>
            <w:tcW w:w="90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/>
                <w:i w:val="false"/>
                <w:color w:val="000000"/>
                <w:sz w:val="22"/>
              </w:rPr>
              <w:t>SDO Assignment</w:t>
            </w:r>
          </w:p>
        </w:tc>
      </w:tr>
      <w:tr>
        <w:trPr>
          <w:trHeight w:val="1065" w:hRule="atLeast"/>
        </w:trPr>
        <w:tc>
          <w:tcPr>
            <w:tcW w:w="44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CAT V ( SAT to &lt; $10M )</w:t>
            </w:r>
          </w:p>
        </w:tc>
        <w:tc>
          <w:tcPr>
            <w:tcW w:w="90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AFPEO/CM delegated to USAFA/CV, who in turn delegated to the USAFA senior contracting official (SCO), who in turn delegated to the COCO</w:t>
            </w:r>
          </w:p>
        </w:tc>
      </w:tr>
      <w:tr>
        <w:trPr>
          <w:trHeight w:val="795" w:hRule="atLeast"/>
        </w:trPr>
        <w:tc>
          <w:tcPr>
            <w:tcW w:w="44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CAT IV ( ≥ $10M to &lt; $100M )</w:t>
            </w:r>
          </w:p>
        </w:tc>
        <w:tc>
          <w:tcPr>
            <w:tcW w:w="90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AFPEO/CM delegated to USAFA/CV, who in turn delegated to the USAFA SCO</w:t>
            </w:r>
          </w:p>
        </w:tc>
      </w:tr>
    </w:tbl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Contracting Officers should refer to the USAFA/PK authorities and delegations site concerning specific COCO designations, delegations and authorities at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https://cs2.eis.af.mil/sites/13093/PP/USAFA_PK/_layouts/15/start.aspx#/SitePages/Home.aspx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cs2.eis.af.mil/sites/13093/PP/USAFA_PK/_layouts/15/start.aspx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