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**ID__AFFARS_pgi_5343_topic_3__ID**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5343.103-90</w:t>
      </w:r>
      <w:r>
        <w:rPr>
          <w:rFonts w:ascii="Times New Roman" w:hAnsi="Times New Roman"/>
          <w:color w:val="000000"/>
          <w:sz w:val="31"/>
        </w:rPr>
        <w:t xml:space="preserve"> Types of Contract Modifications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This table is a guide for buyers and contracting officers to help determine the appropriate authority for issuance of specific types of modifications. The specific facts surrounding the individual modification should always be analyzed. Contracting officers may use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Modification Authority Justification Template</w:t>
        </w:r>
      </w:hyperlink>
      <w:r>
        <w:rPr>
          <w:rFonts w:ascii="Times New Roman" w:hAnsi="Times New Roman"/>
          <w:b w:val="false"/>
          <w:i w:val="false"/>
          <w:color w:val="000000"/>
          <w:sz w:val="22"/>
        </w:rPr>
        <w:t xml:space="preserve"> to document their decision. The general rule is to cite the explicit authority, which is that authority expressly written into the contract, before citing a more general authority such as “By Mutual Agreement between both Parties”. 10 U.S.C Chapter 137 should not be used as it is too broad and does not address modification authority. FAR 1.602, Authority for contracting officers, should not be used because it only defines the authority of the contracting officer (who is only one party to the original agreement) and does not cite a pre-agreed to condition or authority within the original contract that would allow a change.</w:t>
      </w:r>
    </w:p>
    <w:p>
      <w:pPr>
        <w:pBdr>
          <w:top w:space="5"/>
          <w:left w:space="5"/>
          <w:bottom w:space="5"/>
          <w:right w:space="5"/>
        </w:pBdr>
        <w:spacing w:after="0"/>
        <w:ind w:left="225"/>
        <w:jc w:val="left"/>
      </w:pPr>
      <w:r>
        <w:rPr>
          <w:rFonts w:ascii="Times New Roman" w:hAnsi="Times New Roman"/>
          <w:b w:val="false"/>
          <w:i w:val="false"/>
          <w:color w:val="000000"/>
          <w:sz w:val="22"/>
        </w:rPr>
        <w:t>(b) Explicit authority can be provided in the general clauses contained in Section I of the contract. The Changes clause (FAR 52.243-1), Definitization clause (FAR 52.216-25), or Options clauses (FAR 52.217-6 thru 9) are examples. Explicit authority can also be provided for under special contract requirements contained in Section H of the contract. Finally, explicit authority may be provided for under provisions contained elsewhere in the contract, such as the SOW.</w:t>
      </w:r>
    </w:p>
    <w:p>
      <w:pPr>
        <w:pBdr>
          <w:top w:space="5"/>
          <w:left w:space="5"/>
          <w:bottom w:space="5"/>
          <w:right w:space="5"/>
        </w:pBdr>
        <w:spacing w:after="0"/>
        <w:ind w:left="225"/>
        <w:jc w:val="left"/>
      </w:pPr>
      <w:r>
        <w:rPr>
          <w:rFonts w:ascii="Times New Roman" w:hAnsi="Times New Roman"/>
          <w:b w:val="false"/>
          <w:i w:val="false"/>
          <w:color w:val="000000"/>
          <w:sz w:val="22"/>
        </w:rPr>
        <w:t>(c) When citing a specific clause/provision as the authority for the modification, ensure the contract contains that specific clause/provision.</w:t>
      </w:r>
    </w:p>
    <w:p>
      <w:pPr>
        <w:pBdr>
          <w:top w:space="5"/>
          <w:left w:space="5"/>
          <w:bottom w:space="5"/>
          <w:right w:space="5"/>
        </w:pBdr>
        <w:spacing w:after="0"/>
        <w:ind w:left="225"/>
        <w:jc w:val="left"/>
      </w:pPr>
      <w:r>
        <w:rPr>
          <w:rFonts w:ascii="Times New Roman" w:hAnsi="Times New Roman"/>
          <w:b w:val="false"/>
          <w:i w:val="false"/>
          <w:color w:val="000000"/>
          <w:sz w:val="22"/>
        </w:rPr>
        <w:t>(d) Types of Contract Modifications &amp; Modification Authority Table:</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6787"/>
        <w:gridCol w:w="6787"/>
      </w:tblGrid>
      <w:tr>
        <w:trPr>
          <w:trHeight w:val="540"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Modification Subject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Authority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Commercial Modification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52.212-4(c) Contract Terms and Conditions – Commercial Items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adding of (within the limits of the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Data, changing or revising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10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Defects in supplies, correction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Inspection clauses 52.246-2/52.246-3, Warranty clauses, or Correction of Deficiency Clauses in contract</w:t>
            </w:r>
          </w:p>
        </w:tc>
      </w:tr>
      <w:tr>
        <w:trPr>
          <w:trHeight w:val="154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Defective cost or pricing data, Price reduction for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52.215-10 Price Reduction for Defect Cost or Pricing Data or</w:t>
            </w:r>
          </w:p>
          <w:p>
            <w:pPr>
              <w:pBdr>
                <w:top w:space="5"/>
                <w:left w:space="5"/>
                <w:bottom w:space="5"/>
                <w:right w:space="5"/>
              </w:pBdr>
              <w:spacing w:after="0"/>
              <w:ind w:left="240"/>
              <w:jc w:val="left"/>
            </w:pPr>
            <w:r>
              <w:rPr>
                <w:rFonts w:ascii="Times New Roman" w:hAnsi="Times New Roman"/>
                <w:b w:val="false"/>
                <w:i w:val="false"/>
                <w:color w:val="000000"/>
                <w:sz w:val="22"/>
              </w:rPr>
              <w:t>52.215-11 Price Reduction for Defective Cost or Pricing Data--Modifications</w:t>
            </w:r>
          </w:p>
        </w:tc>
      </w:tr>
      <w:tr>
        <w:trPr>
          <w:trHeight w:val="196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Change Order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Definitization of a Letter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52.216-25 Contract Definitization</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change in the place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(CR)</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52.249-14 Excusable Delays</w:t>
            </w:r>
          </w:p>
        </w:tc>
      </w:tr>
      <w:tr>
        <w:trPr>
          <w:trHeight w:val="10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Delivery, schedule extension (FP)</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52.242-17 Government Delay of Work or</w:t>
            </w:r>
          </w:p>
          <w:p>
            <w:pPr>
              <w:pBdr>
                <w:top w:space="5"/>
                <w:left w:space="5"/>
                <w:bottom w:space="5"/>
                <w:right w:space="5"/>
              </w:pBdr>
              <w:spacing w:after="0"/>
              <w:ind w:left="240"/>
              <w:jc w:val="left"/>
            </w:pPr>
            <w:r>
              <w:rPr>
                <w:rFonts w:ascii="Times New Roman" w:hAnsi="Times New Roman"/>
                <w:b w:val="false"/>
                <w:i w:val="false"/>
                <w:color w:val="000000"/>
                <w:sz w:val="22"/>
              </w:rPr>
              <w:t>52.249-8 Default Fixed-Price Supply and Service</w:t>
            </w:r>
          </w:p>
        </w:tc>
      </w:tr>
      <w:tr>
        <w:trPr>
          <w:trHeight w:val="13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Differing Site Conditions (fixed-price construction contract or a fixed-price dismantling, demolition, or removal of improvements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52.236-2 Differing Site Conditions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Economic Price Adjustment (EPA)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52.216-2 Economic price Adjustment--Standard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52.216-3 Economic Price Adjustment—Semi-standard Supplies</w:t>
            </w:r>
          </w:p>
          <w:p>
            <w:pPr>
              <w:pBdr>
                <w:top w:space="5"/>
                <w:left w:space="5"/>
                <w:bottom w:space="5"/>
                <w:right w:space="5"/>
              </w:pBdr>
              <w:spacing w:after="0"/>
              <w:ind w:left="240"/>
              <w:jc w:val="left"/>
            </w:pPr>
            <w:r>
              <w:rPr>
                <w:rFonts w:ascii="Times New Roman" w:hAnsi="Times New Roman"/>
                <w:b w:val="false"/>
                <w:i w:val="false"/>
                <w:color w:val="000000"/>
                <w:sz w:val="22"/>
              </w:rPr>
              <w:t>52.216-4 Economic Price Adjustment--Labor and Material</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an overrun (fully funded cost reimbursement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52.232-20 Limitation of Cost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(fixed-price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DFARS 252.232-7007 Limitation of Government's Obligation</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Funding, increase of (incrementally funded CR contract)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52.232-22 Limitation of Funds</w:t>
            </w:r>
          </w:p>
        </w:tc>
      </w:tr>
      <w:tr>
        <w:trPr>
          <w:trHeight w:val="148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GFP (Government Furnished Property)</w:t>
            </w:r>
          </w:p>
          <w:p>
            <w:pPr>
              <w:pBdr>
                <w:top w:space="5"/>
                <w:left w:space="5"/>
                <w:bottom w:space="5"/>
                <w:right w:space="5"/>
              </w:pBdr>
              <w:spacing w:after="0"/>
              <w:ind w:left="240"/>
              <w:jc w:val="left"/>
            </w:pPr>
            <w:r>
              <w:rPr>
                <w:rFonts w:ascii="Times New Roman" w:hAnsi="Times New Roman"/>
                <w:b w:val="false"/>
                <w:i w:val="false"/>
                <w:color w:val="000000"/>
                <w:sz w:val="22"/>
              </w:rPr>
              <w:t>disposition of / increase or decrease of /</w:t>
            </w:r>
          </w:p>
          <w:p>
            <w:pPr>
              <w:pBdr>
                <w:top w:space="5"/>
                <w:left w:space="5"/>
                <w:bottom w:space="5"/>
                <w:right w:space="5"/>
              </w:pBdr>
              <w:spacing w:after="0"/>
              <w:ind w:left="240"/>
              <w:jc w:val="left"/>
            </w:pPr>
            <w:r>
              <w:rPr>
                <w:rFonts w:ascii="Times New Roman" w:hAnsi="Times New Roman"/>
                <w:b w:val="false"/>
                <w:i w:val="false"/>
                <w:color w:val="000000"/>
                <w:sz w:val="22"/>
              </w:rPr>
              <w:t>replacement of / repair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52.245-1 Government Property</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(FPIF), final price revision or funding to ceiling</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52.216-16 Incentive Price Revision--Firm Target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Incentive price revision (FPIS), establishing a firm-fixed price or firm targets</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52.216-17 Incentive Price Revision--Successive Targets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Make or buy program, changes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52.215-9 Changes or Additions to Make-or-Buy Program</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New work requiring J&amp;A</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250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(IAW contract, unilateral)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52.217-6 Option for Increased Quantity,</w:t>
            </w:r>
          </w:p>
          <w:p>
            <w:pPr>
              <w:pBdr>
                <w:top w:space="5"/>
                <w:left w:space="5"/>
                <w:bottom w:space="5"/>
                <w:right w:space="5"/>
              </w:pBdr>
              <w:spacing w:after="0"/>
              <w:ind w:left="240"/>
              <w:jc w:val="left"/>
            </w:pPr>
            <w:r>
              <w:rPr>
                <w:rFonts w:ascii="Times New Roman" w:hAnsi="Times New Roman"/>
                <w:b w:val="false"/>
                <w:i w:val="false"/>
                <w:color w:val="000000"/>
                <w:sz w:val="22"/>
              </w:rPr>
              <w:t>52.217-7 Option for Increased Quantity--Separately-Priced Line Item,</w:t>
            </w:r>
          </w:p>
          <w:p>
            <w:pPr>
              <w:pBdr>
                <w:top w:space="5"/>
                <w:left w:space="5"/>
                <w:bottom w:space="5"/>
                <w:right w:space="5"/>
              </w:pBdr>
              <w:spacing w:after="0"/>
              <w:ind w:left="240"/>
              <w:jc w:val="left"/>
            </w:pPr>
            <w:r>
              <w:rPr>
                <w:rFonts w:ascii="Times New Roman" w:hAnsi="Times New Roman"/>
                <w:b w:val="false"/>
                <w:i w:val="false"/>
                <w:color w:val="000000"/>
                <w:sz w:val="22"/>
              </w:rPr>
              <w:t>52.217-8 Option to Extend Services, or</w:t>
            </w:r>
          </w:p>
          <w:p>
            <w:pPr>
              <w:pBdr>
                <w:top w:space="5"/>
                <w:left w:space="5"/>
                <w:bottom w:space="5"/>
                <w:right w:space="5"/>
              </w:pBdr>
              <w:spacing w:after="0"/>
              <w:ind w:left="240"/>
              <w:jc w:val="left"/>
            </w:pPr>
            <w:r>
              <w:rPr>
                <w:rFonts w:ascii="Times New Roman" w:hAnsi="Times New Roman"/>
                <w:b w:val="false"/>
                <w:i w:val="false"/>
                <w:color w:val="000000"/>
                <w:sz w:val="22"/>
              </w:rPr>
              <w:t>52.217-9 Option to Extend the Term of the Contract</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Option, exercise of (not IAW contract, bilateral)</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Cite the appropriate exemption to CICA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10 U.S.C. 2304(c)(1) thru (7)</w:t>
              </w:r>
            </w:hyperlink>
            <w:r>
              <w:rPr>
                <w:rFonts w:ascii="Times New Roman" w:hAnsi="Times New Roman"/>
                <w:b w:val="false"/>
                <w:i w:val="false"/>
                <w:color w:val="000000"/>
                <w:sz w:val="22"/>
              </w:rPr>
              <w:t>)</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Packing or shipment,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adding after award</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79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Progress payments, increasing rate or liquidation rate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52.232-16 Progress Payments</w:t>
            </w:r>
          </w:p>
        </w:tc>
      </w:tr>
      <w:tr>
        <w:trPr>
          <w:trHeight w:val="175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Shipment or packing, change in the method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 or</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 Material or Labor-Hour</w:t>
            </w:r>
          </w:p>
        </w:tc>
      </w:tr>
      <w:tr>
        <w:trPr>
          <w:trHeight w:val="22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SOW, specification, designs, and drawings, change in</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52.243-1 Changes--Fixed Price,</w:t>
            </w:r>
          </w:p>
          <w:p>
            <w:pPr>
              <w:pBdr>
                <w:top w:space="5"/>
                <w:left w:space="5"/>
                <w:bottom w:space="5"/>
                <w:right w:space="5"/>
              </w:pBdr>
              <w:spacing w:after="0"/>
              <w:ind w:left="240"/>
              <w:jc w:val="left"/>
            </w:pPr>
            <w:r>
              <w:rPr>
                <w:rFonts w:ascii="Times New Roman" w:hAnsi="Times New Roman"/>
                <w:b w:val="false"/>
                <w:i w:val="false"/>
                <w:color w:val="000000"/>
                <w:sz w:val="22"/>
              </w:rPr>
              <w:t>52.243-2 Changes--Cost Reimbursement,</w:t>
            </w:r>
          </w:p>
          <w:p>
            <w:pPr>
              <w:pBdr>
                <w:top w:space="5"/>
                <w:left w:space="5"/>
                <w:bottom w:space="5"/>
                <w:right w:space="5"/>
              </w:pBdr>
              <w:spacing w:after="0"/>
              <w:ind w:left="240"/>
              <w:jc w:val="left"/>
            </w:pPr>
            <w:r>
              <w:rPr>
                <w:rFonts w:ascii="Times New Roman" w:hAnsi="Times New Roman"/>
                <w:b w:val="false"/>
                <w:i w:val="false"/>
                <w:color w:val="000000"/>
                <w:sz w:val="22"/>
              </w:rPr>
              <w:t>52.243-3 Changes Time-and-Material or Labor-Hour, or</w:t>
            </w:r>
          </w:p>
          <w:p>
            <w:pPr>
              <w:pBdr>
                <w:top w:space="5"/>
                <w:left w:space="5"/>
                <w:bottom w:space="5"/>
                <w:right w:space="5"/>
              </w:pBdr>
              <w:spacing w:after="0"/>
              <w:ind w:left="240"/>
              <w:jc w:val="left"/>
            </w:pPr>
            <w:r>
              <w:rPr>
                <w:rFonts w:ascii="Times New Roman" w:hAnsi="Times New Roman"/>
                <w:b w:val="false"/>
                <w:i w:val="false"/>
                <w:color w:val="000000"/>
                <w:sz w:val="22"/>
              </w:rPr>
              <w:t>52.243-4 Changes</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Stop Work</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52.242-15 Stop-Work Order</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Convenience</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52.249-1 thru 7</w:t>
            </w:r>
          </w:p>
        </w:tc>
      </w:tr>
      <w:tr>
        <w:trPr>
          <w:trHeight w:val="52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 for Default</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52.249-8 thru 10</w:t>
            </w:r>
          </w:p>
        </w:tc>
      </w:tr>
      <w:tr>
        <w:trPr>
          <w:trHeight w:val="193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Value Engineering Change Proposal (VECP), incorporation of</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52.248-1 Value Engineering,</w:t>
            </w:r>
          </w:p>
          <w:p>
            <w:pPr>
              <w:pBdr>
                <w:top w:space="5"/>
                <w:left w:space="5"/>
                <w:bottom w:space="5"/>
                <w:right w:space="5"/>
              </w:pBdr>
              <w:spacing w:after="0"/>
              <w:ind w:left="240"/>
              <w:jc w:val="left"/>
            </w:pPr>
            <w:r>
              <w:rPr>
                <w:rFonts w:ascii="Times New Roman" w:hAnsi="Times New Roman"/>
                <w:b w:val="false"/>
                <w:i w:val="false"/>
                <w:color w:val="000000"/>
                <w:sz w:val="22"/>
              </w:rPr>
              <w:t>52.248-2 Value Engineering--Architect-Engineer, or</w:t>
            </w:r>
          </w:p>
          <w:p>
            <w:pPr>
              <w:pBdr>
                <w:top w:space="5"/>
                <w:left w:space="5"/>
                <w:bottom w:space="5"/>
                <w:right w:space="5"/>
              </w:pBdr>
              <w:spacing w:after="0"/>
              <w:ind w:left="240"/>
              <w:jc w:val="left"/>
            </w:pPr>
            <w:r>
              <w:rPr>
                <w:rFonts w:ascii="Times New Roman" w:hAnsi="Times New Roman"/>
                <w:b w:val="false"/>
                <w:i w:val="false"/>
                <w:color w:val="000000"/>
                <w:sz w:val="22"/>
              </w:rPr>
              <w:t>52.248-3 Value Engineering--Construction</w:t>
            </w:r>
          </w:p>
        </w:tc>
      </w:tr>
      <w:tr>
        <w:trPr>
          <w:trHeight w:val="1275" w:hRule="atLeast"/>
        </w:trPr>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 of Contractual Terms not covered by any other Clause or Section H</w:t>
            </w:r>
          </w:p>
          <w:p>
            <w:pPr>
              <w:pBdr>
                <w:top w:space="5"/>
                <w:left w:space="5"/>
                <w:bottom w:space="5"/>
                <w:right w:space="5"/>
              </w:pBdr>
              <w:spacing w:after="0"/>
              <w:ind w:left="1320"/>
              <w:jc w:val="left"/>
            </w:pPr>
            <w:r>
              <w:rPr>
                <w:rFonts w:ascii="Times New Roman" w:hAnsi="Times New Roman"/>
                <w:b w:val="false"/>
                <w:i w:val="false"/>
                <w:color w:val="000000"/>
                <w:sz w:val="22"/>
              </w:rPr>
              <w:t>(Default authority)</w:t>
            </w:r>
          </w:p>
        </w:tc>
        <w:tc>
          <w:tcPr>
            <w:tcW w:w="6787"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FAR 43.103(a), Mutual Agreement between both Parties</w:t>
            </w:r>
          </w:p>
        </w:tc>
      </w:tr>
    </w:tbl>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modification_authority_justification_template.pdf" Type="http://schemas.openxmlformats.org/officeDocument/2006/relationships/hyperlink" Id="rId4"/>
    <Relationship TargetMode="External" Target="https://uscode.house.gov/view.xhtml?req=granuleid:USC-prelim-title10-section2304&amp;num=0&amp;edition=prelim" Type="http://schemas.openxmlformats.org/officeDocument/2006/relationships/hyperlink" Id="rId5"/>
    <Relationship TargetMode="External" Target="https://uscode.house.gov/view.xhtml?req=granuleid:USC-prelim-title10-section2304&amp;num=0&amp;edition=prelim"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