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**ID__AFFARS_SMC_PGI_5345_103_90__ID**</w:t>
      </w:r>
    </w:p>
    <w:p>
      <w:pPr>
        <w:pStyle w:val="Heading3"/>
        <w:spacing w:after="199"/>
        <w:ind w:left="120"/>
        <w:jc w:val="left"/>
      </w:pPr>
      <w:r>
        <w:rPr>
          <w:rFonts w:ascii="Times New Roman" w:hAnsi="Times New Roman"/>
          <w:color w:val="000000"/>
          <w:sz w:val="31"/>
        </w:rPr>
        <w:t>SMC PGI 5345.103-90</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 xml:space="preserve">(a) Base support requirements are not captured in the government property attachments to the contract. When providing Base Support, personnel are encouraged to include in Tab 34 of the contract file all documentation or agreements outlining the support to be provided at specific locations, including evidence that furnishing Base Support is in the best interest of the Government. Be specific and clear as to kind, type, quality, level, frequency and quantity of material, equipment, transportation, facilities, and services to be required by the contract. Try to identify the program(s) being supported. Try to include detailed language describing the Base Support in the PWS/SOW. A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sample of suggested Base Support language</w:t>
        </w:r>
      </w:hyperlink>
      <w:r>
        <w:rPr>
          <w:rFonts w:ascii="Times New Roman" w:hAnsi="Times New Roman"/>
          <w:b w:val="false"/>
          <w:i w:val="false"/>
          <w:color w:val="000000"/>
          <w:sz w:val="22"/>
        </w:rPr>
        <w:t xml:space="preserve"> is provided.</w:t>
      </w:r>
    </w:p>
    <w:p>
      <w:pPr>
        <w:pBdr>
          <w:top w:space="5"/>
          <w:left w:space="5"/>
          <w:bottom w:space="5"/>
          <w:right w:space="5"/>
        </w:pBdr>
        <w:spacing w:after="0"/>
        <w:ind w:left="225"/>
        <w:jc w:val="left"/>
      </w:pPr>
      <w:r>
        <w:rPr>
          <w:rFonts w:ascii="Times New Roman" w:hAnsi="Times New Roman"/>
          <w:b w:val="false"/>
          <w:i w:val="false"/>
          <w:color w:val="000000"/>
          <w:sz w:val="22"/>
        </w:rPr>
        <w:t>(b) Facilities Use and Rental availability is negotiated between the contractor and the government prior to contract award. Authorization and approval documentation from the cognizant functional organization is provided to the contracting officer and filed in Tab 34 of the contract file.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sample_of_suggested_base_support_language.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