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**ID__AFFARS_MP5301_602_2_1__ID**</w:t>
      </w:r>
    </w:p>
    <w:p>
      <w:pPr>
        <w:pStyle w:val="Heading4"/>
        <w:spacing w:after="269"/>
        <w:ind w:left="120"/>
        <w:jc w:val="left"/>
      </w:pPr>
      <w:r>
        <w:rPr>
          <w:rFonts w:ascii="Times New Roman" w:hAnsi="Times New Roman"/>
          <w:i w:val="false"/>
          <w:color w:val="000000"/>
        </w:rPr>
        <w:t>1.0</w:t>
      </w:r>
      <w:r>
        <w:rPr>
          <w:rFonts w:ascii="Times New Roman" w:hAnsi="Times New Roman"/>
          <w:i w:val="false"/>
          <w:color w:val="000000"/>
        </w:rPr>
        <w:t xml:space="preserve"> Contracting Officer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As part of the acquisition planning process, the CO must determine the nature of the work/requirement (Type A, B, or C) as specified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 If the requiring activity has not yet initiated a COR nomination, the CO must initiate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r>
        <w:rPr>
          <w:rFonts w:ascii="Times New Roman" w:hAnsi="Times New Roman"/>
          <w:b w:val="false"/>
          <w:i w:val="false"/>
          <w:color w:val="000000"/>
          <w:sz w:val="22"/>
        </w:rPr>
        <w:t xml:space="preserve"> to notify the requiring activity of the need for COR(s) support and to prompt requiring activity nomination of a qualified COR via the Joint Appointment Module (JAM) (formerly CORT Tool) in Procurement Integrated Enterprise Environment (PIEE). 1.2.1 The Request for COR Support memorandum initiated by the CO should be routed through requiring activity (e.g., COR Supervisor, Functional Commander/Director (FC/FD)). See Enclosure 5 of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Qualification Requirements for CORs and Enclosure 6 of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Examples of COR Responsibilities and COR Certification Requirements. The COR must file the CO’s Request for COR Support memorandum (if used) in the “COR Online File.”</w:t>
      </w:r>
    </w:p>
    <w:p>
      <w:pPr>
        <w:pBdr>
          <w:top w:space="5"/>
          <w:left w:space="5"/>
          <w:bottom w:space="5"/>
          <w:right w:space="5"/>
        </w:pBdr>
        <w:spacing w:after="0"/>
        <w:ind w:left="585"/>
        <w:jc w:val="left"/>
      </w:pPr>
      <w:r>
        <w:rPr>
          <w:rFonts w:ascii="Times New Roman" w:hAnsi="Times New Roman"/>
          <w:b w:val="false"/>
          <w:i w:val="false"/>
          <w:color w:val="000000"/>
          <w:sz w:val="22"/>
        </w:rP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Bdr>
          <w:top w:space="5"/>
          <w:left w:space="5"/>
          <w:bottom w:space="5"/>
          <w:right w:space="5"/>
        </w:pBdr>
        <w:spacing w:after="0"/>
        <w:ind w:left="585"/>
        <w:jc w:val="left"/>
      </w:pPr>
      <w:r>
        <w:rPr>
          <w:rFonts w:ascii="Times New Roman" w:hAnsi="Times New Roman"/>
          <w:b w:val="false"/>
          <w:i w:val="false"/>
          <w:color w:val="000000"/>
          <w:sz w:val="22"/>
        </w:rP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201.602-2(d)(vi),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Bdr>
          <w:top w:space="5"/>
          <w:left w:space="5"/>
          <w:bottom w:space="5"/>
          <w:right w:space="5"/>
        </w:pBdr>
        <w:spacing w:after="0"/>
        <w:ind w:left="585"/>
        <w:jc w:val="left"/>
      </w:pPr>
      <w:r>
        <w:rPr>
          <w:rFonts w:ascii="Times New Roman" w:hAnsi="Times New Roman"/>
          <w:b w:val="false"/>
          <w:i w:val="false"/>
          <w:color w:val="000000"/>
          <w:sz w:val="22"/>
        </w:rPr>
        <w:t>1.2.4 Upon completion of each CO review of the online COR File, the CO shall document the results on the COR File Annual Checklist, and upload each Checklist review to the SPM.</w:t>
      </w:r>
    </w:p>
    <w:p>
      <w:pPr>
        <w:pBdr>
          <w:top w:space="5"/>
          <w:left w:space="5"/>
          <w:bottom w:space="5"/>
          <w:right w:space="5"/>
        </w:pBdr>
        <w:spacing w:after="0"/>
        <w:ind w:left="585"/>
        <w:jc w:val="left"/>
      </w:pPr>
      <w:r>
        <w:rPr>
          <w:rFonts w:ascii="Times New Roman" w:hAnsi="Times New Roman"/>
          <w:b w:val="false"/>
          <w:i w:val="false"/>
          <w:color w:val="000000"/>
          <w:sz w:val="22"/>
        </w:rPr>
        <w:t xml:space="preserve">1.2.5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rPr>
        <w:t xml:space="preserve"> from the CO must also:</w:t>
      </w:r>
    </w:p>
    <w:p>
      <w:pPr>
        <w:pBdr>
          <w:top w:space="5"/>
          <w:left w:space="5"/>
          <w:bottom w:space="5"/>
          <w:right w:space="5"/>
        </w:pBdr>
        <w:spacing w:after="0"/>
        <w:ind w:left="225"/>
        <w:jc w:val="left"/>
      </w:pPr>
      <w:r>
        <w:rPr>
          <w:rFonts w:ascii="Times New Roman" w:hAnsi="Times New Roman"/>
          <w:b w:val="false"/>
          <w:i w:val="false"/>
          <w:color w:val="000000"/>
          <w:sz w:val="22"/>
        </w:rPr>
        <w:t>(a) Designate the COR (if required) as an Assessing Official Representation (AOR) supporting the CPAR process;</w:t>
      </w:r>
    </w:p>
    <w:p>
      <w:pPr>
        <w:pBdr>
          <w:top w:space="5"/>
          <w:left w:space="5"/>
          <w:bottom w:space="5"/>
          <w:right w:space="5"/>
        </w:pBdr>
        <w:spacing w:after="0"/>
        <w:ind w:left="225"/>
        <w:jc w:val="left"/>
      </w:pPr>
      <w:r>
        <w:rPr>
          <w:rFonts w:ascii="Times New Roman" w:hAnsi="Times New Roman"/>
          <w:b w:val="false"/>
          <w:i w:val="false"/>
          <w:color w:val="000000"/>
          <w:sz w:val="22"/>
        </w:rPr>
        <w:t>(b) Stipulate that the COR will be required to have access to the Synchronized Pre-Deployment &amp; Operation Tracker (SPOT) (if required due to overseas deployment support); and</w:t>
      </w:r>
    </w:p>
    <w:p>
      <w:pPr>
        <w:pBdr>
          <w:top w:space="5"/>
          <w:left w:space="5"/>
          <w:bottom w:space="5"/>
          <w:right w:space="5"/>
        </w:pBdr>
        <w:spacing w:after="0"/>
        <w:ind w:left="225"/>
        <w:jc w:val="left"/>
      </w:pPr>
      <w:r>
        <w:rPr>
          <w:rFonts w:ascii="Times New Roman" w:hAnsi="Times New Roman"/>
          <w:b w:val="false"/>
          <w:i w:val="false"/>
          <w:color w:val="000000"/>
          <w:sz w:val="22"/>
        </w:rPr>
        <w:t>(c) Stipulate whether the COR will require access to the Enterprise-wide Contract Manpower Reporting Application (eCMRA).</w:t>
      </w:r>
    </w:p>
    <w:p>
      <w:pPr>
        <w:pBdr>
          <w:top w:space="5"/>
          <w:left w:space="5"/>
          <w:bottom w:space="5"/>
          <w:right w:space="5"/>
        </w:pBdr>
        <w:spacing w:after="0"/>
        <w:ind w:left="585"/>
        <w:jc w:val="left"/>
      </w:pPr>
      <w:r>
        <w:rPr>
          <w:rFonts w:ascii="Times New Roman" w:hAnsi="Times New Roman"/>
          <w:b w:val="false"/>
          <w:i w:val="false"/>
          <w:color w:val="000000"/>
          <w:sz w:val="22"/>
        </w:rPr>
        <w:t>1.2.6 Notification of COR designation should be provided to the QAPC.</w:t>
      </w:r>
    </w:p>
    <w:p>
      <w:pPr>
        <w:pBdr>
          <w:top w:space="5"/>
          <w:left w:space="5"/>
          <w:bottom w:space="5"/>
          <w:right w:space="5"/>
        </w:pBdr>
        <w:spacing w:after="0"/>
        <w:ind w:left="585"/>
        <w:jc w:val="left"/>
      </w:pPr>
      <w:r>
        <w:rPr>
          <w:rFonts w:ascii="Times New Roman" w:hAnsi="Times New Roman"/>
          <w:b w:val="false"/>
          <w:i w:val="false"/>
          <w:color w:val="000000"/>
          <w:sz w:val="22"/>
        </w:rP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Forms 450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Bdr>
          <w:top w:space="5"/>
          <w:left w:space="5"/>
          <w:bottom w:space="5"/>
          <w:right w:space="5"/>
        </w:pBdr>
        <w:spacing w:after="0"/>
        <w:ind w:left="585"/>
        <w:jc w:val="left"/>
      </w:pPr>
      <w:r>
        <w:rPr>
          <w:rFonts w:ascii="Times New Roman" w:hAnsi="Times New Roman"/>
          <w:b w:val="false"/>
          <w:i w:val="false"/>
          <w:color w:val="000000"/>
          <w:sz w:val="22"/>
        </w:rPr>
        <w:t>1.3.1 Duties/responsibilities to be delegated;</w:t>
      </w:r>
    </w:p>
    <w:p>
      <w:pPr>
        <w:pBdr>
          <w:top w:space="5"/>
          <w:left w:space="5"/>
          <w:bottom w:space="5"/>
          <w:right w:space="5"/>
        </w:pBdr>
        <w:spacing w:after="0"/>
        <w:ind w:left="585"/>
        <w:jc w:val="left"/>
      </w:pPr>
      <w:r>
        <w:rPr>
          <w:rFonts w:ascii="Times New Roman" w:hAnsi="Times New Roman"/>
          <w:b w:val="false"/>
          <w:i w:val="false"/>
          <w:color w:val="000000"/>
          <w:sz w:val="22"/>
        </w:rPr>
        <w:t>1.3.2 Importance of COR performance;</w:t>
      </w:r>
    </w:p>
    <w:p>
      <w:pPr>
        <w:pBdr>
          <w:top w:space="5"/>
          <w:left w:space="5"/>
          <w:bottom w:space="5"/>
          <w:right w:space="5"/>
        </w:pBdr>
        <w:spacing w:after="0"/>
        <w:ind w:left="585"/>
        <w:jc w:val="left"/>
      </w:pPr>
      <w:r>
        <w:rPr>
          <w:rFonts w:ascii="Times New Roman" w:hAnsi="Times New Roman"/>
          <w:b w:val="false"/>
          <w:i w:val="false"/>
          <w:color w:val="000000"/>
          <w:sz w:val="22"/>
        </w:rPr>
        <w:t>1.3.3 Personal conflicts of interest and potential conflicts of interest;</w:t>
      </w:r>
    </w:p>
    <w:p>
      <w:pPr>
        <w:pBdr>
          <w:top w:space="5"/>
          <w:left w:space="5"/>
          <w:bottom w:space="5"/>
          <w:right w:space="5"/>
        </w:pBdr>
        <w:spacing w:after="0"/>
        <w:ind w:left="585"/>
        <w:jc w:val="left"/>
      </w:pPr>
      <w:r>
        <w:rPr>
          <w:rFonts w:ascii="Times New Roman" w:hAnsi="Times New Roman"/>
          <w:b w:val="false"/>
          <w:i w:val="false"/>
          <w:color w:val="000000"/>
          <w:sz w:val="22"/>
        </w:rPr>
        <w:t>1.3.4 Unauthorized commitments;</w:t>
      </w:r>
    </w:p>
    <w:p>
      <w:pPr>
        <w:pBdr>
          <w:top w:space="5"/>
          <w:left w:space="5"/>
          <w:bottom w:space="5"/>
          <w:right w:space="5"/>
        </w:pBdr>
        <w:spacing w:after="0"/>
        <w:ind w:left="585"/>
        <w:jc w:val="left"/>
      </w:pPr>
      <w:r>
        <w:rPr>
          <w:rFonts w:ascii="Times New Roman" w:hAnsi="Times New Roman"/>
          <w:b w:val="false"/>
          <w:i w:val="false"/>
          <w:color w:val="000000"/>
          <w:sz w:val="22"/>
        </w:rPr>
        <w:t>1.3.5 Ethics/integrity in relationships with the CO, COR management (e.g., COR Supervisor, Services Designated Official (SDO), Functional Commander/ Directors (FC/FD)), and the contractor;</w:t>
      </w:r>
    </w:p>
    <w:p>
      <w:pPr>
        <w:pBdr>
          <w:top w:space="5"/>
          <w:left w:space="5"/>
          <w:bottom w:space="5"/>
          <w:right w:space="5"/>
        </w:pBdr>
        <w:spacing w:after="0"/>
        <w:ind w:left="585"/>
        <w:jc w:val="left"/>
      </w:pPr>
      <w:r>
        <w:rPr>
          <w:rFonts w:ascii="Times New Roman" w:hAnsi="Times New Roman"/>
          <w:b w:val="false"/>
          <w:i w:val="false"/>
          <w:color w:val="000000"/>
          <w:sz w:val="22"/>
        </w:rPr>
        <w:t xml:space="preserve">1.3.6 Discussion of the </w:t>
      </w:r>
      <w:hyperlink r:id="rId1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Seven Steps to the Services Acquisition Process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1.3.7 Contract-specific training consisting as a minimum of the following:</w:t>
      </w:r>
    </w:p>
    <w:p>
      <w:pPr>
        <w:pBdr>
          <w:top w:space="5"/>
          <w:left w:space="5"/>
          <w:bottom w:space="5"/>
          <w:right w:space="5"/>
        </w:pBdr>
        <w:spacing w:after="0"/>
        <w:ind w:left="945"/>
        <w:jc w:val="left"/>
      </w:pPr>
      <w:r>
        <w:rPr>
          <w:rFonts w:ascii="Times New Roman" w:hAnsi="Times New Roman"/>
          <w:b w:val="false"/>
          <w:i w:val="false"/>
          <w:color w:val="000000"/>
          <w:sz w:val="22"/>
        </w:rPr>
        <w:t>1.3.7.1 A discussion of the contract (SOW, PWS, Specifications, etc.), and surveillance plan/QASP;</w:t>
      </w:r>
    </w:p>
    <w:p>
      <w:pPr>
        <w:pBdr>
          <w:top w:space="5"/>
          <w:left w:space="5"/>
          <w:bottom w:space="5"/>
          <w:right w:space="5"/>
        </w:pBdr>
        <w:spacing w:after="0"/>
        <w:ind w:left="945"/>
        <w:jc w:val="left"/>
      </w:pPr>
      <w:r>
        <w:rPr>
          <w:rFonts w:ascii="Times New Roman" w:hAnsi="Times New Roman"/>
          <w:b w:val="false"/>
          <w:i w:val="false"/>
          <w:color w:val="000000"/>
          <w:sz w:val="22"/>
        </w:rPr>
        <w:t>1.3.7.2 An awareness of any areas in the contract susceptible to fraud, waste, and abuse;</w:t>
      </w:r>
    </w:p>
    <w:p>
      <w:pPr>
        <w:pBdr>
          <w:top w:space="5"/>
          <w:left w:space="5"/>
          <w:bottom w:space="5"/>
          <w:right w:space="5"/>
        </w:pBdr>
        <w:spacing w:after="0"/>
        <w:ind w:left="945"/>
        <w:jc w:val="left"/>
      </w:pPr>
      <w:r>
        <w:rPr>
          <w:rFonts w:ascii="Times New Roman" w:hAnsi="Times New Roman"/>
          <w:b w:val="false"/>
          <w:i w:val="false"/>
          <w:color w:val="000000"/>
          <w:sz w:val="22"/>
        </w:rPr>
        <w:t>1.3.7.3 Creation, maintenance, and submission of all surveillance documentation and contractor performance assessment information required by the contract and applicable regulations;</w:t>
      </w:r>
    </w:p>
    <w:p>
      <w:pPr>
        <w:pBdr>
          <w:top w:space="5"/>
          <w:left w:space="5"/>
          <w:bottom w:space="5"/>
          <w:right w:space="5"/>
        </w:pBdr>
        <w:spacing w:after="0"/>
        <w:ind w:left="945"/>
        <w:jc w:val="left"/>
      </w:pPr>
      <w:r>
        <w:rPr>
          <w:rFonts w:ascii="Times New Roman" w:hAnsi="Times New Roman"/>
          <w:b w:val="false"/>
          <w:i w:val="false"/>
          <w:color w:val="000000"/>
          <w:sz w:val="22"/>
        </w:rPr>
        <w:t>1.3.7.4 How the COR can stay abreast of contract modifications;</w:t>
      </w:r>
    </w:p>
    <w:p>
      <w:pPr>
        <w:pBdr>
          <w:top w:space="5"/>
          <w:left w:space="5"/>
          <w:bottom w:space="5"/>
          <w:right w:space="5"/>
        </w:pBdr>
        <w:spacing w:after="0"/>
        <w:ind w:left="945"/>
        <w:jc w:val="left"/>
      </w:pPr>
      <w:r>
        <w:rPr>
          <w:rFonts w:ascii="Times New Roman" w:hAnsi="Times New Roman"/>
          <w:b w:val="false"/>
          <w:i w:val="false"/>
          <w:color w:val="000000"/>
          <w:sz w:val="22"/>
        </w:rPr>
        <w:t>1.3.7.5 How the COR can monitor contract fund status; and,</w:t>
      </w:r>
    </w:p>
    <w:p>
      <w:pPr>
        <w:pBdr>
          <w:top w:space="5"/>
          <w:left w:space="5"/>
          <w:bottom w:space="5"/>
          <w:right w:space="5"/>
        </w:pBdr>
        <w:spacing w:after="0"/>
        <w:ind w:left="945"/>
        <w:jc w:val="left"/>
      </w:pPr>
      <w:r>
        <w:rPr>
          <w:rFonts w:ascii="Times New Roman" w:hAnsi="Times New Roman"/>
          <w:b w:val="false"/>
          <w:i w:val="false"/>
          <w:color w:val="000000"/>
          <w:sz w:val="22"/>
        </w:rPr>
        <w:t>1.3.7.6 Joint CO and COR review of the “COR File Annual Checklist” to ensure mutual understanding of the level/quality of surveillance and documentation must be maintained in the on-line SPM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1.3.8 Refer to the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r>
        <w:rPr>
          <w:rFonts w:ascii="Times New Roman" w:hAnsi="Times New Roman"/>
          <w:b w:val="false"/>
          <w:i w:val="false"/>
          <w:color w:val="000000"/>
          <w:sz w:val="22"/>
        </w:rPr>
        <w:t xml:space="preserve"> template for conducting contract-specific training. The template may be tailored to fit your acquisition.</w:t>
      </w:r>
    </w:p>
    <w:p>
      <w:pPr>
        <w:pBdr>
          <w:top w:space="5"/>
          <w:left w:space="5"/>
          <w:bottom w:space="5"/>
          <w:right w:space="5"/>
        </w:pBdr>
        <w:spacing w:after="0"/>
        <w:ind w:left="225"/>
        <w:jc w:val="left"/>
      </w:pPr>
      <w:r>
        <w:rPr>
          <w:rFonts w:ascii="Times New Roman" w:hAnsi="Times New Roman"/>
          <w:b/>
          <w:i w:val="false"/>
          <w:color w:val="000000"/>
          <w:sz w:val="22"/>
        </w:rPr>
        <w:t>COR Performance and Appraisal</w:t>
      </w:r>
    </w:p>
    <w:p>
      <w:pPr>
        <w:pBdr>
          <w:top w:space="5"/>
          <w:left w:space="5"/>
          <w:bottom w:space="5"/>
          <w:right w:space="5"/>
        </w:pBdr>
        <w:spacing w:after="0"/>
        <w:ind w:left="225"/>
        <w:jc w:val="left"/>
      </w:pPr>
      <w:r>
        <w:rPr>
          <w:rFonts w:ascii="Times New Roman" w:hAnsi="Times New Roman"/>
          <w:b w:val="false"/>
          <w:i w:val="false"/>
          <w:color w:val="000000"/>
          <w:sz w:val="22"/>
        </w:rPr>
        <w:t>1.4 At a minimum, the CO and COR supervisor must review the COR’s reports, files, and other documentation for completeness/accomplishment, on an annual basis.</w:t>
      </w:r>
    </w:p>
    <w:p>
      <w:pPr>
        <w:pBdr>
          <w:top w:space="5"/>
          <w:left w:space="5"/>
          <w:bottom w:space="5"/>
          <w:right w:space="5"/>
        </w:pBdr>
        <w:spacing w:after="0"/>
        <w:ind w:left="225"/>
        <w:jc w:val="left"/>
      </w:pPr>
      <w:r>
        <w:rPr>
          <w:rFonts w:ascii="Times New Roman" w:hAnsi="Times New Roman"/>
          <w:b w:val="false"/>
          <w:i w:val="false"/>
          <w:color w:val="000000"/>
          <w:sz w:val="22"/>
        </w:rPr>
        <w:t>1.5 The CO must provide an annual assessment, as a minimum, on the COR’s performance to the COR supervisor. The assessment may be performed concurrently with the administrative review of the COR online file detailed in 1.2.3.</w:t>
      </w:r>
    </w:p>
    <w:p>
      <w:pPr>
        <w:pBdr>
          <w:top w:space="5"/>
          <w:left w:space="5"/>
          <w:bottom w:space="5"/>
          <w:right w:space="5"/>
        </w:pBdr>
        <w:spacing w:after="0"/>
        <w:ind w:left="225"/>
        <w:jc w:val="left"/>
      </w:pPr>
      <w:r>
        <w:rPr>
          <w:rFonts w:ascii="Times New Roman" w:hAnsi="Times New Roman"/>
          <w:b w:val="false"/>
          <w:i w:val="false"/>
          <w:color w:val="000000"/>
          <w:sz w:val="22"/>
        </w:rPr>
        <w:t>1.6 The COR must complete and upload reports to the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 xml:space="preserve">1.7 When the CO terminates the COR’s duties (see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1.8 When the requiring activity requests termination of COR designation, the CO must terminate the COR designation in writing (use of the “Smart Form” in the JAM is authorized). Include the signed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1.9 The CO must forward a copy of the fully executed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to the COR, COR Supervisor, Contractor, and as applicable, to the contract administration office(r).</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issuances/dodi/500072p.pdf" Type="http://schemas.openxmlformats.org/officeDocument/2006/relationships/hyperlink" Id="rId4"/>
    <Relationship TargetMode="External" Target="https://usaf.dps.mil/sites/AFCC/KnowledgeCenter/contracting_templates/request_for_COR_support.pdf" Type="http://schemas.openxmlformats.org/officeDocument/2006/relationships/hyperlink" Id="rId5"/>
    <Relationship TargetMode="External" Target="http://www.esd.whs.mil/Portals/54/Documents/DD/issuances/dodi/500072p.pdf" Type="http://schemas.openxmlformats.org/officeDocument/2006/relationships/hyperlink" Id="rId6"/>
    <Relationship TargetMode="External" Target="http://www.esd.whs.mil/Portals/54/Documents/DD/issuances/dodi/500072p.pdf" Type="http://schemas.openxmlformats.org/officeDocument/2006/relationships/hyperlink" Id="rId7"/>
    <Relationship TargetMode="External" Target="https://usaf.dps.mil/sites/AFCC/KnowledgeCenter/contracting_templates/cor_designation.pdf" Type="http://schemas.openxmlformats.org/officeDocument/2006/relationships/hyperlink" Id="rId8"/>
    <Relationship TargetMode="External" Target="https://www.oge.gov/web/OGE.nsf/Confidential%20Financial%20Disclosure" Type="http://schemas.openxmlformats.org/officeDocument/2006/relationships/hyperlink" Id="rId9"/>
    <Relationship TargetMode="External" Target="http://sam.dau.mil/" Type="http://schemas.openxmlformats.org/officeDocument/2006/relationships/hyperlink" Id="rId10"/>
    <Relationship TargetMode="External" Target="https://usaf.dps.mil/sites/AFCC/KnowledgeCenter/contracting_templates/suggested_contract-specific_training_syllabus.pdf" Type="http://schemas.openxmlformats.org/officeDocument/2006/relationships/hyperlink" Id="rId11"/>
    <Relationship TargetMode="External" Target="https://usaf.dps.mil/sites/AFCC/KnowledgeCenter/contracting_templates/termination_of_COR_designation.pdf" Type="http://schemas.openxmlformats.org/officeDocument/2006/relationships/hyperlink" Id="rId12"/>
    <Relationship TargetMode="External" Target="https://usaf.dps.mil/sites/AFCC/KnowledgeCenter/contracting_templates/termination_of_COR_designation.pdf" Type="http://schemas.openxmlformats.org/officeDocument/2006/relationships/hyperlink" Id="rId13"/>
    <Relationship TargetMode="External" Target="https://usaf.dps.mil/sites/AFCC/KnowledgeCenter/contracting_templates/termination_of_COR_designation.pdf" Type="http://schemas.openxmlformats.org/officeDocument/2006/relationships/hyperlink" Id="rId1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