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**ID__AFFARS_mp_5301_602_2_d_topic_3__ID**</w:t>
      </w:r>
      <w:r>
        <w:rPr>
          <w:rFonts w:ascii="Times New Roman" w:hAnsi="Times New Roman"/>
          <w:b w:val="false"/>
          <w:i w:val="false"/>
          <w:color w:val="000000"/>
          <w:sz w:val="22"/>
        </w:rPr>
        <w:t xml:space="preserve"> </w:t>
      </w:r>
    </w:p>
    <w:p>
      <w:pPr>
        <w:pStyle w:val="Heading4"/>
        <w:spacing w:after="269"/>
        <w:ind w:left="120"/>
        <w:jc w:val="center"/>
      </w:pPr>
      <w:r>
        <w:rPr>
          <w:rFonts w:ascii="Times New Roman" w:hAnsi="Times New Roman"/>
          <w:i w:val="false"/>
          <w:color w:val="000000"/>
          <w:sz w:val="36"/>
        </w:rPr>
        <w:t>2.0</w:t>
      </w:r>
      <w:r>
        <w:rPr>
          <w:rFonts w:ascii="Times New Roman" w:hAnsi="Times New Roman"/>
          <w:i w:val="false"/>
          <w:color w:val="000000"/>
          <w:sz w:val="36"/>
        </w:rPr>
        <w:t xml:space="preserve"> COR 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2.1 Register for JAM and SPM access through the PIEE e-Business Suite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and complete training to effectively perform duties in the SPM. Training includes a review the JAM and SPM Users Guide and FAQs, and if necessary, a request for additional training from a local Department Administrator (DA).</w:t>
      </w:r>
    </w:p>
    <w:p>
      <w:pPr>
        <w:pBdr>
          <w:top w:space="5"/>
          <w:left w:space="5"/>
          <w:bottom w:space="5"/>
          <w:right w:space="5"/>
        </w:pBdr>
        <w:spacing w:after="0"/>
        <w:ind w:left="225"/>
        <w:jc w:val="left"/>
      </w:pPr>
      <w:r>
        <w:rPr>
          <w:rFonts w:ascii="Times New Roman" w:hAnsi="Times New Roman"/>
          <w:b w:val="false"/>
          <w:i w:val="false"/>
          <w:color w:val="000000"/>
          <w:sz w:val="22"/>
        </w:rPr>
        <w:t>2.2 Provide information necessary to assess whether any actual or potential personal conflicts of interest with performing the responsibilities to be designated exist. Conflicts of interest determination will be reviewed again prior to contract award.</w:t>
      </w:r>
    </w:p>
    <w:p>
      <w:pPr>
        <w:pBdr>
          <w:top w:space="5"/>
          <w:left w:space="5"/>
          <w:bottom w:space="5"/>
          <w:right w:space="5"/>
        </w:pBdr>
        <w:spacing w:after="0"/>
        <w:ind w:left="225"/>
        <w:jc w:val="left"/>
      </w:pPr>
      <w:r>
        <w:rPr>
          <w:rFonts w:ascii="Times New Roman" w:hAnsi="Times New Roman"/>
          <w:b w:val="false"/>
          <w:i w:val="false"/>
          <w:color w:val="000000"/>
          <w:sz w:val="22"/>
        </w:rPr>
        <w:t>2.3 Participate, as requested, in annual CPAR procedures and contract close-out.</w:t>
      </w:r>
    </w:p>
    <w:p>
      <w:pPr>
        <w:pBdr>
          <w:top w:space="5"/>
          <w:left w:space="5"/>
          <w:bottom w:space="5"/>
          <w:right w:space="5"/>
        </w:pBdr>
        <w:spacing w:after="0"/>
        <w:ind w:left="225"/>
        <w:jc w:val="left"/>
      </w:pPr>
      <w:r>
        <w:rPr>
          <w:rFonts w:ascii="Times New Roman" w:hAnsi="Times New Roman"/>
          <w:b w:val="false"/>
          <w:i w:val="false"/>
          <w:color w:val="000000"/>
          <w:sz w:val="22"/>
        </w:rPr>
        <w:t>2.4 Remain abreast of changes to terms and conditions of the contract resulting from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Perform only those duties/responsibilities delegated by the CO in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awf.eb.mil" Type="http://schemas.openxmlformats.org/officeDocument/2006/relationships/hyperlink" Id="rId4"/>
    <Relationship TargetMode="External" Target="https://usaf.dps.mil/sites/AFCC/KnowledgeCenter/contracting_templates/COR_designation.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