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**ID__AFFARS_MP5301_602_2_5__ID**</w:t>
      </w:r>
    </w:p>
    <w:p>
      <w:pPr>
        <w:pStyle w:val="Heading4"/>
        <w:spacing w:after="269"/>
        <w:ind w:left="120"/>
        <w:jc w:val="left"/>
      </w:pPr>
      <w:r>
        <w:rPr>
          <w:rFonts w:ascii="Times New Roman" w:hAnsi="Times New Roman"/>
          <w:i w:val="false"/>
          <w:color w:val="000000"/>
          <w:sz w:val="36"/>
        </w:rPr>
        <w:t>5.0</w:t>
      </w:r>
      <w:r>
        <w:rPr>
          <w:rFonts w:ascii="Times New Roman" w:hAnsi="Times New Roman"/>
          <w:i w:val="false"/>
          <w:color w:val="000000"/>
          <w:sz w:val="36"/>
        </w:rPr>
        <w:t xml:space="preserve"> Quality Assurance Program Coordinator (QAPC)</w:t>
      </w:r>
    </w:p>
    <w:p>
      <w:pPr>
        <w:pBdr>
          <w:top w:space="5"/>
          <w:left w:space="5"/>
          <w:bottom w:space="5"/>
          <w:right w:space="5"/>
        </w:pBdr>
        <w:spacing w:after="0"/>
        <w:ind w:left="225"/>
        <w:jc w:val="left"/>
      </w:pPr>
      <w:r>
        <w:rPr>
          <w:rFonts w:ascii="Times New Roman" w:hAnsi="Times New Roman"/>
          <w:b w:val="false"/>
          <w:i w:val="false"/>
          <w:color w:val="000000"/>
          <w:sz w:val="22"/>
        </w:rPr>
        <w:t>5.1 Train CORs and COR management [e.g., COR Supervisor, SDO, Functional Commanders/Directors (FC/FD)] on the contracting requirements associated with the quality assurance program and any MAJCOM/DRU/AFRCO/SMC procedures prior to contract award. See paragraph 1.5 herein.</w:t>
      </w:r>
    </w:p>
    <w:p>
      <w:pPr>
        <w:pBdr>
          <w:top w:space="5"/>
          <w:left w:space="5"/>
          <w:bottom w:space="5"/>
          <w:right w:space="5"/>
        </w:pBdr>
        <w:spacing w:after="0"/>
        <w:ind w:left="225"/>
        <w:jc w:val="left"/>
      </w:pPr>
      <w:r>
        <w:rPr>
          <w:rFonts w:ascii="Times New Roman" w:hAnsi="Times New Roman"/>
          <w:b w:val="false"/>
          <w:i w:val="false"/>
          <w:color w:val="000000"/>
          <w:sz w:val="22"/>
        </w:rPr>
        <w:t xml:space="preserve">5.2 Assist the CO in providing contract-specific training (to include refresher training) to the COR (Reference paragraph 1.3 above) and ensuring required training is accomplished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w:t>
        </w:r>
      </w:hyperlink>
      <w:r>
        <w:rPr>
          <w:rFonts w:ascii="Times New Roman" w:hAnsi="Times New Roman"/>
          <w:b w:val="false"/>
          <w:i w:val="false"/>
          <w:color w:val="000000"/>
          <w:sz w:val="22"/>
        </w:rPr>
        <w:t xml:space="preserve">, </w:t>
      </w:r>
      <w:r>
        <w:rPr>
          <w:rFonts w:ascii="Times New Roman" w:hAnsi="Times New Roman"/>
          <w:b w:val="false"/>
          <w:i/>
          <w:color w:val="000000"/>
          <w:sz w:val="22"/>
        </w:rPr>
        <w:t>DoD Standard for Contracting Officer’s Representative (COR) Certification</w:t>
      </w:r>
      <w:r>
        <w:rPr>
          <w:rFonts w:ascii="Times New Roman" w:hAnsi="Times New Roman"/>
          <w:b w:val="false"/>
          <w:i w:val="false"/>
          <w:color w:val="000000"/>
          <w:sz w:val="22"/>
        </w:rPr>
        <w:t>, 26 Mar 15.</w:t>
      </w:r>
    </w:p>
    <w:p>
      <w:pPr>
        <w:pBdr>
          <w:top w:space="5"/>
          <w:left w:space="5"/>
          <w:bottom w:space="5"/>
          <w:right w:space="5"/>
        </w:pBdr>
        <w:spacing w:after="0"/>
        <w:ind w:left="225"/>
        <w:jc w:val="left"/>
      </w:pPr>
      <w:r>
        <w:rPr>
          <w:rFonts w:ascii="Times New Roman" w:hAnsi="Times New Roman"/>
          <w:b w:val="false"/>
          <w:i w:val="false"/>
          <w:color w:val="000000"/>
          <w:sz w:val="22"/>
        </w:rP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5.3.1 </w:t>
      </w:r>
      <w:r>
        <w:rPr>
          <w:rFonts w:ascii="Times New Roman" w:hAnsi="Times New Roman"/>
          <w:b w:val="false"/>
          <w:i w:val="false"/>
          <w:color w:val="000000"/>
          <w:sz w:val="22"/>
          <w:u w:val="single"/>
        </w:rPr>
        <w:t>GETTING STARTED</w:t>
      </w:r>
      <w:r>
        <w:rPr>
          <w:rFonts w:ascii="Times New Roman" w:hAnsi="Times New Roman"/>
          <w:b/>
          <w:i w:val="false"/>
          <w:color w:val="000000"/>
          <w:sz w:val="22"/>
        </w:rPr>
        <w:t>:</w:t>
      </w:r>
      <w:r>
        <w:rPr>
          <w:rFonts w:ascii="Times New Roman" w:hAnsi="Times New Roman"/>
          <w:b w:val="false"/>
          <w:i w:val="false"/>
          <w:color w:val="000000"/>
          <w:sz w:val="22"/>
        </w:rP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Bdr>
          <w:top w:space="5"/>
          <w:left w:space="5"/>
          <w:bottom w:space="5"/>
          <w:right w:space="5"/>
        </w:pBdr>
        <w:spacing w:after="0"/>
        <w:ind w:left="225"/>
        <w:jc w:val="left"/>
      </w:pPr>
      <w:r>
        <w:rPr>
          <w:rFonts w:ascii="Times New Roman" w:hAnsi="Times New Roman"/>
          <w:b w:val="false"/>
          <w:i w:val="false"/>
          <w:color w:val="000000"/>
          <w:sz w:val="22"/>
        </w:rPr>
        <w:t>(c) Conduct JAM SPM training or provide training resources to users.</w:t>
      </w:r>
    </w:p>
    <w:p>
      <w:pPr>
        <w:pBdr>
          <w:top w:space="5"/>
          <w:left w:space="5"/>
          <w:bottom w:space="5"/>
          <w:right w:space="5"/>
        </w:pBdr>
        <w:spacing w:after="0"/>
        <w:ind w:left="585"/>
        <w:jc w:val="left"/>
      </w:pPr>
      <w:r>
        <w:rPr>
          <w:rFonts w:ascii="Times New Roman" w:hAnsi="Times New Roman"/>
          <w:b w:val="false"/>
          <w:i w:val="false"/>
          <w:color w:val="000000"/>
          <w:sz w:val="22"/>
        </w:rPr>
        <w:t xml:space="preserve">5.3.2 </w:t>
      </w:r>
      <w:r>
        <w:rPr>
          <w:rFonts w:ascii="Times New Roman" w:hAnsi="Times New Roman"/>
          <w:b w:val="false"/>
          <w:i w:val="false"/>
          <w:color w:val="000000"/>
          <w:sz w:val="22"/>
          <w:u w:val="single"/>
        </w:rPr>
        <w:t>USER SUPPORT</w:t>
      </w:r>
      <w:r>
        <w:rPr>
          <w:rFonts w:ascii="Times New Roman" w:hAnsi="Times New Roman"/>
          <w:b/>
          <w:i w:val="false"/>
          <w:color w:val="000000"/>
          <w:sz w:val="22"/>
        </w:rPr>
        <w:t>:</w:t>
      </w:r>
      <w:r>
        <w:rPr>
          <w:rFonts w:ascii="Times New Roman" w:hAnsi="Times New Roman"/>
          <w:b w:val="false"/>
          <w:i w:val="false"/>
          <w:color w:val="000000"/>
          <w:sz w:val="22"/>
        </w:rP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Bdr>
          <w:top w:space="5"/>
          <w:left w:space="5"/>
          <w:bottom w:space="5"/>
          <w:right w:space="5"/>
        </w:pBdr>
        <w:spacing w:after="0"/>
        <w:ind w:left="225"/>
        <w:jc w:val="left"/>
      </w:pPr>
      <w:r>
        <w:rPr>
          <w:rFonts w:ascii="Times New Roman" w:hAnsi="Times New Roman"/>
          <w:b w:val="false"/>
          <w:i w:val="false"/>
          <w:color w:val="000000"/>
          <w:sz w:val="22"/>
        </w:rPr>
        <w:t>(e) Monitor records of all COR and COR management training, including refresher training regardless of provider (e.g., QAPC, CO, contract specialist, contract administrator, Defense Acquisition University, or commercial training provider)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issuances/dodi/500072p.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