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**ID__AFFARS_mp_5301_602_2_d_topic_6__ID**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5.0</w:t>
      </w:r>
      <w:r>
        <w:rPr>
          <w:rFonts w:ascii="Times New Roman" w:hAnsi="Times New Roman"/>
          <w:i w:val="false"/>
          <w:color w:val="000000"/>
          <w:sz w:val="36"/>
        </w:rPr>
        <w:t xml:space="preserve"> Quality Assurance Program Coordinator (QAPC)</w:t>
      </w:r>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72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