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**ID__AFFARS_MP5301_603_90__ID**</w:t>
      </w:r>
    </w:p>
    <w:p>
      <w:pPr>
        <w:pStyle w:val="Heading3"/>
        <w:spacing w:after="199"/>
        <w:ind w:left="120"/>
        <w:jc w:val="left"/>
      </w:pPr>
      <w:r>
        <w:rPr>
          <w:rFonts w:ascii="Times New Roman" w:hAnsi="Times New Roman"/>
          <w:color w:val="000000"/>
          <w:sz w:val="48"/>
        </w:rPr>
        <w:t>MP5301.603-90</w:t>
      </w:r>
      <w:r>
        <w:rPr>
          <w:rFonts w:ascii="Times New Roman" w:hAnsi="Times New Roman"/>
          <w:color w:val="000000"/>
          <w:sz w:val="48"/>
        </w:rPr>
        <w:t xml:space="preserve"> Selection, Appointment, and Termination of Appointment of Contracting Officers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Applicability</w:t>
      </w:r>
      <w:r>
        <w:rPr>
          <w:rFonts w:ascii="Times New Roman" w:hAnsi="Times New Roman"/>
          <w:b w:val="false"/>
          <w:i w:val="false"/>
          <w:color w:val="000000"/>
          <w:sz w:val="22"/>
        </w:rPr>
        <w:t>. This MP must be used when selecting, nominating, appointing, and terminating contracting officers (CO) to maximize standardization across the AF. Warrants are issued in accordance with FAR 1.603, DFARS 201.603, AFFARS 5301.603-2-90,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Exemption</w:t>
      </w:r>
      <w:r>
        <w:rPr>
          <w:rFonts w:ascii="Times New Roman" w:hAnsi="Times New Roman"/>
          <w:b w:val="false"/>
          <w:i w:val="false"/>
          <w:color w:val="000000"/>
          <w:sz w:val="22"/>
        </w:rPr>
        <w:t>. Warrant procedures for Contingency Contracting Officers (CCOs) are set forth in AFFARS 5301.603-2-90 and, this MP, as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Focal Point (FP)</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FPs must be designated in writing via the FP designation form and may be assigned unlimited or limited duties as indicated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AF CO Warrant Tracking Tool</w:t>
      </w:r>
      <w:r>
        <w:rPr>
          <w:rFonts w:ascii="Times New Roman" w:hAnsi="Times New Roman"/>
          <w:b w:val="false"/>
          <w:i w:val="false"/>
          <w:color w:val="000000"/>
          <w:sz w:val="22"/>
        </w:rPr>
        <w:t>. All warrants are entered into and tracked via the AF CO Warrant Tracking Tool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w:t>
        </w:r>
      </w:hyperlink>
      <w:r>
        <w:rPr>
          <w:rFonts w:ascii="Times New Roman" w:hAnsi="Times New Roman"/>
          <w:b w:val="false"/>
          <w:i w:val="false"/>
          <w:color w:val="000000"/>
          <w:sz w:val="22"/>
        </w:rPr>
        <w:t>. Prior to obtaining access, FPs must request training on the use of the AFCOWTT by contacting HQ AFMC/PK, as applicable. FPs are responsible for entering all warrant data into the tool, and for uploading warrants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SF1402s</w:t>
        </w:r>
      </w:hyperlink>
      <w:r>
        <w:rPr>
          <w:rFonts w:ascii="Times New Roman" w:hAnsi="Times New Roman"/>
          <w:b w:val="false"/>
          <w:i w:val="false"/>
          <w:color w:val="000000"/>
          <w:sz w:val="22"/>
        </w:rPr>
        <w:t>) (and up to three past</w:t>
      </w:r>
    </w:p>
    <w:p>
      <w:pPr>
        <w:pBdr>
          <w:top w:space="5"/>
          <w:left w:space="5"/>
          <w:bottom w:space="5"/>
          <w:right w:space="5"/>
        </w:pBdr>
        <w:spacing w:after="0"/>
        <w:ind w:left="225"/>
        <w:jc w:val="left"/>
      </w:pPr>
      <w:r>
        <w:rPr>
          <w:rFonts w:ascii="Times New Roman" w:hAnsi="Times New Roman"/>
          <w:b w:val="false"/>
          <w:i w:val="false"/>
          <w:color w:val="000000"/>
          <w:sz w:val="22"/>
        </w:rPr>
        <w:t xml:space="preserve">SF1402s), a copy of the COT certificate, and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FPs also administer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all other warrant actions and are</w:t>
      </w:r>
      <w:r>
        <w:rPr>
          <w:rFonts w:ascii="Times New Roman" w:hAnsi="Times New Roman"/>
          <w:b w:val="false"/>
          <w:i w:val="false"/>
          <w:color w:val="000000"/>
          <w:sz w:val="22"/>
        </w:rPr>
        <w:t xml:space="preserv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CO Warrant Nomenclature</w:t>
      </w:r>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5-8 are obtained from the identification (ID) field of the AFCOWTT; for example, in FY21 an ID field number of 2345 would yield an appointment number of AF-21-2345. Current transferable warrants will be updated through attrition. All new non-transferable warrants will be numbered as follows: Organization-FY-XXXX e.g., SMC-21-2499 for SMC; positions 5-8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Nominating</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Warrant Candidates</w:t>
      </w:r>
      <w:r>
        <w:rPr>
          <w:rFonts w:ascii="Times New Roman" w:hAnsi="Times New Roman"/>
          <w:b w:val="false"/>
          <w:i w:val="false"/>
          <w:color w:val="000000"/>
          <w:sz w:val="22"/>
        </w:rPr>
        <w:t>.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w:t>
      </w:r>
      <w:r>
        <w:rPr>
          <w:rFonts w:ascii="Times New Roman" w:hAnsi="Times New Roman"/>
          <w:b w:val="false"/>
          <w:i w:val="false"/>
          <w:color w:val="000000"/>
          <w:sz w:val="22"/>
          <w:u w:val="single"/>
        </w:rPr>
        <w:t>AF</w:t>
      </w:r>
      <w:r>
        <w:rPr>
          <w:rFonts w:ascii="Times New Roman" w:hAnsi="Times New Roman"/>
          <w:b w:val="false"/>
          <w:i w:val="false"/>
          <w:color w:val="000000"/>
          <w:sz w:val="22"/>
          <w:u w:val="single"/>
        </w:rPr>
        <w:t>Contracting Officer Test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u w:val="single"/>
        </w:rPr>
        <w:t>.</w:t>
      </w:r>
      <w:r>
        <w:rPr>
          <w:rFonts w:ascii="Times New Roman" w:hAnsi="Times New Roman"/>
          <w:b w:val="false"/>
          <w:i w:val="false"/>
          <w:color w:val="000000"/>
          <w:sz w:val="22"/>
        </w:rPr>
        <w:t>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 xml:space="preserve">During the COT, candidates are limited to the use of electronic regulations available via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 xml:space="preserve">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(3)</w:t>
      </w:r>
      <w:r>
        <w:rPr>
          <w:rFonts w:ascii="Times New Roman" w:hAnsi="Times New Roman"/>
          <w:b w:val="false"/>
          <w:i w:val="false"/>
          <w:color w:val="000000"/>
          <w:sz w:val="22"/>
        </w:rPr>
        <w:t>Candidates must provide the correct answer and the correct, associated complete reference (e.g., FAR 15.401(a)(2)(i)(B)),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If the candidate fails to pass the COT, the candidate may challenge missed questions and/or references in accordance with the Proctor User Guide</w:t>
      </w:r>
      <w:r>
        <w:rPr>
          <w:rFonts w:ascii="Times New Roman" w:hAnsi="Times New Roman"/>
          <w:b w:val="false"/>
          <w:i w:val="false"/>
          <w:color w:val="000000"/>
          <w:sz w:val="22"/>
          <w:u w:val="single"/>
        </w:rPr>
        <w:t>only</w:t>
      </w:r>
      <w:r>
        <w:rPr>
          <w:rFonts w:ascii="Times New Roman" w:hAnsi="Times New Roman"/>
          <w:b w:val="false"/>
          <w:i w:val="false"/>
          <w:color w:val="000000"/>
          <w:sz w:val="22"/>
        </w:rPr>
        <w:t xml:space="preserve"> when approval of the challenge would result in a passing score.</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w:t>
      </w:r>
      <w:r>
        <w:rPr>
          <w:rFonts w:ascii="Times New Roman" w:hAnsi="Times New Roman"/>
          <w:b w:val="false"/>
          <w:i w:val="false"/>
          <w:color w:val="000000"/>
          <w:sz w:val="22"/>
        </w:rPr>
        <w:t>Supervisors are authorized to approve a maximum of two continuous learning points per 12-month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(4)</w:t>
      </w:r>
      <w:r>
        <w:rPr>
          <w:rFonts w:ascii="Times New Roman" w:hAnsi="Times New Roman"/>
          <w:b w:val="false"/>
          <w:i w:val="false"/>
          <w:color w:val="000000"/>
          <w:sz w:val="22"/>
          <w:u w:val="single"/>
        </w:rPr>
        <w:t>Practice COT</w:t>
      </w:r>
      <w:r>
        <w:rPr>
          <w:rFonts w:ascii="Times New Roman" w:hAnsi="Times New Roman"/>
          <w:b w:val="false"/>
          <w:i w:val="false"/>
          <w:color w:val="000000"/>
          <w:sz w:val="22"/>
        </w:rPr>
        <w:t>: Practice tests are available via the ADLS site in accordance with number (5) below. Practice tests may not be administered on the COT site. The completion of a practice test shall not be used as the basis for warrant eligibility.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Demonstration (Demo)</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rPr>
        <w:t xml:space="preserve">: A demo test was developed to help familiarize warrant candidates with the question structure of the COT. The Demo is a non-proctored, 50-minute, timed test consisting of ten questions which are electronically and randomly selected from a 20 question pool. Follow the instructions on the COT SharePoint page to access the demo test on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ADLS</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There is no limit on the number of times the Demo COT may be taken. </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COT Maintenance</w:t>
      </w:r>
      <w:r>
        <w:rPr>
          <w:rFonts w:ascii="Times New Roman" w:hAnsi="Times New Roman"/>
          <w:b w:val="false"/>
          <w:i w:val="false"/>
          <w:color w:val="000000"/>
          <w:sz w:val="22"/>
        </w:rPr>
        <w:t>. To ensure the integrity of the COT, the database of questions, answers, and references are reviewed and updated on a regular basis. HQ AFMC/PK maintains the</w:t>
      </w:r>
    </w:p>
    <w:p>
      <w:pPr>
        <w:pBdr>
          <w:top w:space="5"/>
          <w:left w:space="5"/>
          <w:bottom w:space="5"/>
          <w:right w:space="5"/>
        </w:pBdr>
        <w:spacing w:after="0"/>
        <w:ind w:left="225"/>
        <w:jc w:val="left"/>
      </w:pPr>
      <w:r>
        <w:rPr>
          <w:rFonts w:ascii="Times New Roman" w:hAnsi="Times New Roman"/>
          <w:b w:val="false"/>
          <w:i w:val="false"/>
          <w:color w:val="000000"/>
          <w:sz w:val="22"/>
        </w:rPr>
        <w:t>COT SharePoint page and has configuration control over the COT question database and the Proctor User Guide.</w:t>
      </w:r>
    </w:p>
    <w:p>
      <w:pPr>
        <w:pBdr>
          <w:top w:space="5"/>
          <w:left w:space="5"/>
          <w:bottom w:space="5"/>
          <w:right w:space="5"/>
        </w:pBdr>
        <w:spacing w:after="0"/>
        <w:ind w:left="945"/>
        <w:jc w:val="left"/>
      </w:pPr>
      <w:r>
        <w:rPr>
          <w:rFonts w:ascii="Times New Roman" w:hAnsi="Times New Roman"/>
          <w:b w:val="false"/>
          <w:i w:val="false"/>
          <w:color w:val="000000"/>
          <w:sz w:val="22"/>
        </w:rPr>
        <w:t>(i) The MAJCOM/DRU FP (or for AFMC, the subordinate unit FP) must immediately notify HQ AFMC/PK upon discovery of an incorrect or incomplete reference or incorrect answer, or a suspect question, as evidenced by the percentage of incorrect answers selected or by test score challenges/validation efforts.</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HQ AFMC/PK is responsible for updating questions, answers, and references in the COT database, as necessary, due to errors, administrative changes, regulatory changes, etc.</w:t>
      </w:r>
    </w:p>
    <w:p>
      <w:pPr>
        <w:pBdr>
          <w:top w:space="5"/>
          <w:left w:space="5"/>
          <w:bottom w:space="5"/>
          <w:right w:space="5"/>
        </w:pBdr>
        <w:spacing w:after="0"/>
        <w:ind w:left="585"/>
        <w:jc w:val="left"/>
      </w:pPr>
      <w:r>
        <w:rPr>
          <w:rFonts w:ascii="Times New Roman" w:hAnsi="Times New Roman"/>
          <w:b w:val="false"/>
          <w:i w:val="false"/>
          <w:color w:val="000000"/>
          <w:sz w:val="22"/>
        </w:rPr>
        <w:t>(7) Additional information and testing protocols regarding the COT are located on the COT SharePoint page.</w:t>
      </w:r>
    </w:p>
    <w:p>
      <w:pPr>
        <w:pBdr>
          <w:top w:space="5"/>
          <w:left w:space="5"/>
          <w:bottom w:space="5"/>
          <w:right w:space="5"/>
        </w:pBdr>
        <w:spacing w:after="0"/>
        <w:ind w:left="585"/>
        <w:jc w:val="left"/>
      </w:pPr>
      <w:r>
        <w:rPr>
          <w:rFonts w:ascii="Times New Roman" w:hAnsi="Times New Roman"/>
          <w:b w:val="false"/>
          <w:i w:val="false"/>
          <w:color w:val="000000"/>
          <w:sz w:val="22"/>
        </w:rPr>
        <w:t>(8) When a candidate passes the COT, the COT automatically generates a COT Certificate of Completion, and the COT proctor annotates successful COT completion on the candidate’s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val="false"/>
          <w:color w:val="000000"/>
          <w:sz w:val="22"/>
          <w:u w:val="single"/>
        </w:rPr>
        <w:t>Non-Transferable Warrants</w:t>
      </w:r>
      <w:r>
        <w:rPr>
          <w:rFonts w:ascii="Times New Roman" w:hAnsi="Times New Roman"/>
          <w:b w:val="false"/>
          <w:i w:val="false"/>
          <w:color w:val="000000"/>
          <w:sz w:val="22"/>
        </w:rPr>
        <w:t>.</w:t>
      </w:r>
      <w:r>
        <w:rPr>
          <w:rFonts w:ascii="Times New Roman" w:hAnsi="Times New Roman"/>
          <w:b w:val="false"/>
          <w:i w:val="false"/>
          <w:color w:val="000000"/>
          <w:sz w:val="22"/>
        </w:rPr>
        <w:t>Non-transferable warrants may be issued for specific functions or buying activities (i.e., contract closeout, defective pricing actions, funding modifications, administrative modifications, specific contracts, units, etc.) if the requirements of AFFARS 5301.603-2-90(b) are met. Candidates for limited non-transferable warrants above the SAT should pass the COT in accordance with this MP. Warrant boards shall not be used for non-transferable warrants; however, a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(i) </w:t>
      </w:r>
      <w:r>
        <w:rPr>
          <w:rFonts w:ascii="Times New Roman" w:hAnsi="Times New Roman"/>
          <w:b w:val="false"/>
          <w:i w:val="false"/>
          <w:color w:val="000000"/>
          <w:sz w:val="22"/>
          <w:u w:val="single"/>
        </w:rPr>
        <w:t>Limited Transferable Warrants</w:t>
      </w:r>
      <w:r>
        <w:rPr>
          <w:rFonts w:ascii="Times New Roman" w:hAnsi="Times New Roman"/>
          <w:b w:val="false"/>
          <w:i w:val="false"/>
          <w:color w:val="000000"/>
          <w:sz w:val="22"/>
        </w:rPr>
        <w:t>.</w:t>
      </w:r>
      <w:r>
        <w:rPr>
          <w:rFonts w:ascii="Times New Roman" w:hAnsi="Times New Roman"/>
          <w:b w:val="false"/>
          <w:i w:val="false"/>
          <w:color w:val="000000"/>
          <w:sz w:val="22"/>
        </w:rPr>
        <w:t>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 (See AF PGI 5301.108(c)).</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Warrants&gt;SAT to &lt;$5M</w:t>
      </w:r>
      <w:r>
        <w:rPr>
          <w:rFonts w:ascii="Times New Roman" w:hAnsi="Times New Roman"/>
          <w:b w:val="false"/>
          <w:i w:val="false"/>
          <w:color w:val="000000"/>
          <w:sz w:val="22"/>
        </w:rPr>
        <w:t>. Successful completion of the COT and meeting the requirements of this MP indicate eligibility for a limited warrant above the SAT but less than $5M.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Warrants $5M to $25M</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a vetting process established by the appointing official and documented on the COWER, indicate eligibility for a limited warrant from $5M to $25M.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val="false"/>
          <w:color w:val="000000"/>
          <w:sz w:val="22"/>
          <w:u w:val="single"/>
        </w:rPr>
        <w:t>Unlimited Warrants</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passing a warrant board indicate eligibility for an unlimited warrant.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w:t>
      </w:r>
    </w:p>
    <w:p>
      <w:pPr>
        <w:pBdr>
          <w:top w:space="5"/>
          <w:left w:space="5"/>
          <w:bottom w:space="5"/>
          <w:right w:space="5"/>
        </w:pBdr>
        <w:spacing w:after="0"/>
        <w:ind w:left="585"/>
        <w:jc w:val="left"/>
      </w:pPr>
      <w:r>
        <w:rPr>
          <w:rFonts w:ascii="Times New Roman" w:hAnsi="Times New Roman"/>
          <w:b w:val="false"/>
          <w:i w:val="false"/>
          <w:color w:val="000000"/>
          <w:sz w:val="22"/>
        </w:rPr>
        <w:t>HQ AFMC/PK</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(k)</w:t>
      </w:r>
      <w:r>
        <w:rPr>
          <w:rFonts w:ascii="Times New Roman" w:hAnsi="Times New Roman"/>
          <w:b w:val="false"/>
          <w:i w:val="false"/>
          <w:color w:val="000000"/>
          <w:sz w:val="22"/>
          <w:u w:val="single"/>
        </w:rPr>
        <w:t>Warrant Transfer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 Reinstatement</w:t>
      </w:r>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(h) above, are transferable across the AF. As long as a warrant is in good standing, an individual shall not be required to test or board again. However, warrant transferability does not guarantee immediate utilization, as the appointing official may determine that time is needed to facilitate familiarity with new workload responsibilities and organizational procedures. When a CO, including those grandfathered, transfers to an organization with a different appointing official and the new position requires a warrant,</w:t>
      </w:r>
      <w:r>
        <w:rPr>
          <w:rFonts w:ascii="Times New Roman" w:hAnsi="Times New Roman"/>
          <w:b w:val="false"/>
          <w:i w:val="false"/>
          <w:color w:val="000000"/>
          <w:sz w:val="22"/>
        </w:rPr>
        <w:t>the gaining appointing official must obtain a copy of the current COWER from the losing appointing official.</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val="false"/>
          <w:color w:val="000000"/>
          <w:sz w:val="22"/>
          <w:u w:val="single"/>
        </w:rPr>
        <w:t>Grandfathered Contracting Officers</w:t>
      </w:r>
      <w:r>
        <w:rPr>
          <w:rFonts w:ascii="Times New Roman" w:hAnsi="Times New Roman"/>
          <w:b w:val="false"/>
          <w:i w:val="false"/>
          <w:color w:val="000000"/>
          <w:sz w:val="22"/>
        </w:rPr>
        <w:t>.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val="false"/>
          <w:color w:val="000000"/>
          <w:sz w:val="22"/>
          <w:u w:val="single"/>
        </w:rPr>
        <w:t>Warrants Issued Based on</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External Warrant Credentials</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A new AF 1102 with external, federal government CO experience may be issued an AF warrant without meeting the requirements of this MP (COT and vetting process or warrant board) based on the discretion of the appointing official, provided they meet the qualification requirements at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The appointing official must conduct an assessment of the candidate’s qualifications and experience prior to the issuance of an AF warrant. The appointing official shall document the rationale for appointment on the COWER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(n) </w:t>
      </w:r>
      <w:r>
        <w:rPr>
          <w:rFonts w:ascii="Times New Roman" w:hAnsi="Times New Roman"/>
          <w:b w:val="false"/>
          <w:i w:val="false"/>
          <w:color w:val="000000"/>
          <w:sz w:val="22"/>
          <w:u w:val="single"/>
        </w:rPr>
        <w:t>Reissuance of Warrant Certificates</w:t>
      </w:r>
      <w:r>
        <w:rPr>
          <w:rFonts w:ascii="Times New Roman" w:hAnsi="Times New Roman"/>
          <w:b w:val="false"/>
          <w:i w:val="false"/>
          <w:color w:val="000000"/>
          <w:sz w:val="22"/>
        </w:rPr>
        <w:t>. A request to reissue an existing warrant certificate for administrative purposes (e.g., damage to or deterioration of the original SF1402,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(o) </w:t>
      </w:r>
      <w:r>
        <w:rPr>
          <w:rFonts w:ascii="Times New Roman" w:hAnsi="Times New Roman"/>
          <w:b w:val="false"/>
          <w:i w:val="false"/>
          <w:color w:val="000000"/>
          <w:sz w:val="22"/>
          <w:u w:val="single"/>
        </w:rPr>
        <w:t>Warrant Suspension or Termination for Cause</w:t>
      </w:r>
      <w:r>
        <w:rPr>
          <w:rFonts w:ascii="Times New Roman" w:hAnsi="Times New Roman"/>
          <w:b w:val="false"/>
          <w:i w:val="false"/>
          <w:color w:val="000000"/>
          <w:sz w:val="22"/>
        </w:rPr>
        <w:t>.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b:/r/teams/PK-Central/AFCC/afmc_pk_mp_ig/Templates/warrant_process_focal_point_designation.pdf" Type="http://schemas.openxmlformats.org/officeDocument/2006/relationships/hyperlink" Id="rId4"/>
    <Relationship TargetMode="External" Target="https://usaf.dps.mil/teams/PK-Central/AFCC/afmc_pk_mp_ig/Warrant/SitePages/Warrant-Home.aspx" Type="http://schemas.openxmlformats.org/officeDocument/2006/relationships/hyperlink" Id="rId5"/>
    <Relationship TargetMode="External" Target="mailto:HQAFMCPK.PKQ.Workflow@us.af.mil" Type="http://schemas.openxmlformats.org/officeDocument/2006/relationships/hyperlink" Id="rId6"/>
    <Relationship TargetMode="External" Target="https://www.gsa.gov/forms-library/certificate-appointment" Type="http://schemas.openxmlformats.org/officeDocument/2006/relationships/hyperlink" Id="rId7"/>
    <Relationship TargetMode="External" Target="https://usaf.dps.mil/sites/AFCC/KnowledgeCenter/contracting_templates/co_appointment_warrant__transfer_termination_request.pdf" Type="http://schemas.openxmlformats.org/officeDocument/2006/relationships/hyperlink" Id="rId8"/>
    <Relationship TargetMode="External" Target="www.acquisition.gov" Type="http://schemas.openxmlformats.org/officeDocument/2006/relationships/hyperlink" Id="rId9"/>
    <Relationship TargetMode="External" Target="https://golearn.adls.af.mil/login.aspx" Type="http://schemas.openxmlformats.org/officeDocument/2006/relationships/hyperlink" Id="rId10"/>
    <Relationship TargetMode="External" Target="https://www.acquisition.gov/dfars/part-201-federal-acquisition-regulations-system" Type="http://schemas.openxmlformats.org/officeDocument/2006/relationships/hyperlink" Id="rId11"/>
    <Relationship TargetMode="External" Target="https://usaf.dps.mil/sites/AFCC/KnowledgeCenter/Documents/External_Warrant_Credential_Considerations.docx" Type="http://schemas.openxmlformats.org/officeDocument/2006/relationships/hyperlink" Id="rId1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