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**ID__AFFARS_mp_5301_603_90_topic_1__ID**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48"/>
        </w:rPr>
        <w:t>MP5301.603-90</w:t>
      </w:r>
      <w:r>
        <w:rPr>
          <w:rFonts w:ascii="Times New Roman" w:hAnsi="Times New Roman"/>
          <w:color w:val="000000"/>
          <w:sz w:val="48"/>
        </w:rPr>
        <w:t xml:space="preserve"> Selection, Appointment, and Termination of Appointment of Contracting Officers</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Applicability</w:t>
      </w:r>
      <w:r>
        <w:rPr>
          <w:rFonts w:ascii="Times New Roman" w:hAnsi="Times New Roman"/>
          <w:b w:val="false"/>
          <w:i w:val="false"/>
          <w:color w:val="000000"/>
          <w:sz w:val="22"/>
        </w:rPr>
        <w:t>. This MP must be used when selecting, nominating, appointing, and terminating contracting officers (CO) to maximize standardization across the AF. Warrants are issued in accordance with FAR 1.603, DFARS 201.603, AFFARS 5301.603-2-90, and this MP.</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Exemption</w:t>
      </w:r>
      <w:r>
        <w:rPr>
          <w:rFonts w:ascii="Times New Roman" w:hAnsi="Times New Roman"/>
          <w:b w:val="false"/>
          <w:i w:val="false"/>
          <w:color w:val="000000"/>
          <w:sz w:val="22"/>
        </w:rPr>
        <w:t>. Warrant procedures for Contingency Contracting Officers (CCOs) are set forth in AFFARS 5301.603-2-90 and, this MP, as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Focal Point (FP)</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FPs must be designated in writing via the FP designation form and may be assigned unlimited or limited duties as indicated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Warrant Process Focal Point Designation Form</w:t>
        </w:r>
      </w:hyperlink>
      <w:r>
        <w:rPr>
          <w:rFonts w:ascii="Times New Roman" w:hAnsi="Times New Roman"/>
          <w:b w:val="false"/>
          <w:i w:val="false"/>
          <w:color w:val="000000"/>
          <w:sz w:val="22"/>
        </w:rPr>
        <w:t>. Each SCO is responsible for appointing FPs and must designate at least one FP with unlimited duties. SCOs may delegate authority to appoint “limited FPs” to perform COT Proctor functions to the COCO. This authority is not further delegable. Follow the form instructions when appointing FPs.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AF CO Warrant Tracking Tool</w:t>
      </w:r>
      <w:r>
        <w:rPr>
          <w:rFonts w:ascii="Times New Roman" w:hAnsi="Times New Roman"/>
          <w:b w:val="false"/>
          <w:i w:val="false"/>
          <w:color w:val="000000"/>
          <w:sz w:val="22"/>
        </w:rPr>
        <w:t>. All warrants are entered into and tracked via the AF CO Warrant Tracking Tool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AFCOWTT</w:t>
        </w:r>
      </w:hyperlink>
      <w:r>
        <w:rPr>
          <w:rFonts w:ascii="Times New Roman" w:hAnsi="Times New Roman"/>
          <w:b w:val="false"/>
          <w:i w:val="false"/>
          <w:color w:val="000000"/>
          <w:sz w:val="22"/>
        </w:rPr>
        <w:t xml:space="preserve">). FPs obtain access to the AFCOWTT by submitting a copy of the Warrant Process Focal Point Designation Form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AFMC/PK</w:t>
        </w:r>
      </w:hyperlink>
      <w:r>
        <w:rPr>
          <w:rFonts w:ascii="Times New Roman" w:hAnsi="Times New Roman"/>
          <w:b w:val="false"/>
          <w:i w:val="false"/>
          <w:color w:val="000000"/>
          <w:sz w:val="22"/>
        </w:rPr>
        <w:t>. Prior to obtaining access, FPs must request training on the use of the AFCOWTT by contacting HQ AFMC/PK, as applicable. FPs are responsible for entering all warrant data into the tool, and for uploading warrants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SF1402s</w:t>
        </w:r>
      </w:hyperlink>
      <w:r>
        <w:rPr>
          <w:rFonts w:ascii="Times New Roman" w:hAnsi="Times New Roman"/>
          <w:b w:val="false"/>
          <w:i w:val="false"/>
          <w:color w:val="000000"/>
          <w:sz w:val="22"/>
        </w:rPr>
        <w:t>) (and up to three past</w:t>
      </w:r>
    </w:p>
    <w:p>
      <w:pPr>
        <w:pBdr>
          <w:top w:space="5"/>
          <w:left w:space="5"/>
          <w:bottom w:space="5"/>
          <w:right w:space="5"/>
        </w:pBdr>
        <w:spacing w:after="0"/>
        <w:ind w:left="225"/>
        <w:jc w:val="left"/>
      </w:pPr>
      <w:r>
        <w:rPr>
          <w:rFonts w:ascii="Times New Roman" w:hAnsi="Times New Roman"/>
          <w:b w:val="false"/>
          <w:i w:val="false"/>
          <w:color w:val="000000"/>
          <w:sz w:val="22"/>
        </w:rPr>
        <w:t xml:space="preserve">SF1402s), a copy of the COT certificate, and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 Appointment/Warrant Eligibility Transfer/Termination Request (COWER)</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FPs also administer</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all other warrant actions and are</w:t>
      </w:r>
      <w:r>
        <w:rPr>
          <w:rFonts w:ascii="Times New Roman" w:hAnsi="Times New Roman"/>
          <w:b w:val="false"/>
          <w:i w:val="false"/>
          <w:color w:val="000000"/>
          <w:sz w:val="22"/>
        </w:rPr>
        <w:t xml:space="preserve"> responsible for maintaining current, accurate, and complete warrant data in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CO Warrant Nomenclature</w:t>
      </w:r>
      <w:r>
        <w:rPr>
          <w:rFonts w:ascii="Times New Roman" w:hAnsi="Times New Roman"/>
          <w:b w:val="false"/>
          <w:i w:val="false"/>
          <w:color w:val="000000"/>
          <w:sz w:val="22"/>
        </w:rPr>
        <w:t>. All transferable warrants are numbered as follows: the first two positions are “AF”, the third and fourth positions are the last two digits of the fiscal year (FY) in which the appointment is made, and positions 5-8 are obtained from the identification (ID) field of the AFCOWTT; for example, in FY21 an ID field number of 2345 would yield an appointment number of AF-21-2345. Current transferable warrants will be updated through attrition. All new non-transferable warrants will be numbered as follows: Organization-FY-XXXX e.g., SMC-21-2499 for SMC; positions 5-8 are obtained from the ID field of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Nominating</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Warrant Candidates</w:t>
      </w:r>
      <w:r>
        <w:rPr>
          <w:rFonts w:ascii="Times New Roman" w:hAnsi="Times New Roman"/>
          <w:b w:val="false"/>
          <w:i w:val="false"/>
          <w:color w:val="000000"/>
          <w:sz w:val="22"/>
        </w:rPr>
        <w:t>. Warrant candidates are nominated by a candidate sponsor who shall be no lower than the candidate’s first level supervisor. Submit warrant nominations to the designated FP using the COWER.</w:t>
      </w:r>
    </w:p>
    <w:p>
      <w:pPr>
        <w:pBdr>
          <w:top w:space="5"/>
          <w:left w:space="5"/>
          <w:bottom w:space="5"/>
          <w:right w:space="5"/>
        </w:pBdr>
        <w:spacing w:after="0"/>
        <w:ind w:left="225"/>
        <w:jc w:val="left"/>
      </w:pPr>
      <w:r>
        <w:rPr>
          <w:rFonts w:ascii="Times New Roman" w:hAnsi="Times New Roman"/>
          <w:b w:val="false"/>
          <w:i w:val="false"/>
          <w:color w:val="000000"/>
          <w:sz w:val="22"/>
        </w:rPr>
        <w:t>(g)</w:t>
      </w:r>
      <w:r>
        <w:rPr>
          <w:rFonts w:ascii="Times New Roman" w:hAnsi="Times New Roman"/>
          <w:b w:val="false"/>
          <w:i w:val="false"/>
          <w:color w:val="000000"/>
          <w:sz w:val="22"/>
          <w:u w:val="single"/>
        </w:rPr>
        <w:t>AF</w:t>
      </w:r>
      <w:r>
        <w:rPr>
          <w:rFonts w:ascii="Times New Roman" w:hAnsi="Times New Roman"/>
          <w:b w:val="false"/>
          <w:i w:val="false"/>
          <w:color w:val="000000"/>
          <w:sz w:val="22"/>
          <w:u w:val="single"/>
        </w:rPr>
        <w:t>Contracting Officer Test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(COT)</w:t>
      </w:r>
      <w:r>
        <w:rPr>
          <w:rFonts w:ascii="Times New Roman" w:hAnsi="Times New Roman"/>
          <w:b w:val="false"/>
          <w:i w:val="false"/>
          <w:color w:val="000000"/>
          <w:sz w:val="22"/>
          <w:u w:val="single"/>
        </w:rPr>
        <w:t>.</w:t>
      </w:r>
      <w:r>
        <w:rPr>
          <w:rFonts w:ascii="Times New Roman" w:hAnsi="Times New Roman"/>
          <w:b w:val="false"/>
          <w:i w:val="false"/>
          <w:color w:val="000000"/>
          <w:sz w:val="22"/>
        </w:rPr>
        <w:t>Candidates for warrants above the simplified acquisition threshold (SAT) must pass the two-hour timed, open book COT by achieving a minimum score of 80%.</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COT is a proctored, computer generated test containing 25 randomly selected true/false and multiple-choice questions from the FAR, DFARS, and/or AFFARS. Each question is worth up to two points.</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 xml:space="preserve">During the COT, candidates are limited to the use of electronic regulations available via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www.acquisition.gov</w:t>
        </w:r>
      </w:hyperlink>
      <w:r>
        <w:rPr>
          <w:rFonts w:ascii="Times New Roman" w:hAnsi="Times New Roman"/>
          <w:b w:val="false"/>
          <w:i w:val="false"/>
          <w:color w:val="000000"/>
          <w:sz w:val="22"/>
        </w:rPr>
        <w:t xml:space="preserve"> and hard copies of the FAR and DFARS (free of tabs and notes); however, hard copies will not be provided. Notes and electronic devices are not permitted in the testing site. Use of email, instant messaging, or any other form of electronic communication is prohibited during the COT.</w:t>
      </w:r>
    </w:p>
    <w:p>
      <w:pPr>
        <w:pBdr>
          <w:top w:space="5"/>
          <w:left w:space="5"/>
          <w:bottom w:space="5"/>
          <w:right w:space="5"/>
        </w:pBdr>
        <w:spacing w:after="0"/>
        <w:ind w:left="585"/>
        <w:jc w:val="left"/>
      </w:pPr>
      <w:r>
        <w:rPr>
          <w:rFonts w:ascii="Times New Roman" w:hAnsi="Times New Roman"/>
          <w:b w:val="false"/>
          <w:i w:val="false"/>
          <w:color w:val="000000"/>
          <w:sz w:val="22"/>
        </w:rPr>
        <w:t>(3)</w:t>
      </w:r>
      <w:r>
        <w:rPr>
          <w:rFonts w:ascii="Times New Roman" w:hAnsi="Times New Roman"/>
          <w:b w:val="false"/>
          <w:i w:val="false"/>
          <w:color w:val="000000"/>
          <w:sz w:val="22"/>
        </w:rPr>
        <w:t>Candidates must provide the correct answer and the correct, associated complete reference (e.g., FAR 15.401(a)(2)(i)(B)),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If the candidate fails to pass the COT, the candidate may challenge missed questions and/or references in accordance with the Proctor User Guide</w:t>
      </w:r>
      <w:r>
        <w:rPr>
          <w:rFonts w:ascii="Times New Roman" w:hAnsi="Times New Roman"/>
          <w:b w:val="false"/>
          <w:i w:val="false"/>
          <w:color w:val="000000"/>
          <w:sz w:val="22"/>
          <w:u w:val="single"/>
        </w:rPr>
        <w:t>only</w:t>
      </w:r>
      <w:r>
        <w:rPr>
          <w:rFonts w:ascii="Times New Roman" w:hAnsi="Times New Roman"/>
          <w:b w:val="false"/>
          <w:i w:val="false"/>
          <w:color w:val="000000"/>
          <w:sz w:val="22"/>
        </w:rPr>
        <w:t xml:space="preserve"> when approval of the challenge would result in a passing score.</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A candidate who fails the COT may retake it if authorized by their immediate supervisor and space is available. If the candidate fails to pass the COT on the second attempt, the candidate may not retake the COT until a six month waiting period has passed.</w:t>
      </w:r>
    </w:p>
    <w:p>
      <w:pPr>
        <w:pBdr>
          <w:top w:space="5"/>
          <w:left w:space="5"/>
          <w:bottom w:space="5"/>
          <w:right w:space="5"/>
        </w:pBdr>
        <w:spacing w:after="0"/>
        <w:ind w:left="945"/>
        <w:jc w:val="left"/>
      </w:pPr>
      <w:r>
        <w:rPr>
          <w:rFonts w:ascii="Times New Roman" w:hAnsi="Times New Roman"/>
          <w:b w:val="false"/>
          <w:i w:val="false"/>
          <w:color w:val="000000"/>
          <w:sz w:val="22"/>
        </w:rPr>
        <w:t>(iii)</w:t>
      </w:r>
      <w:r>
        <w:rPr>
          <w:rFonts w:ascii="Times New Roman" w:hAnsi="Times New Roman"/>
          <w:b w:val="false"/>
          <w:i w:val="false"/>
          <w:color w:val="000000"/>
          <w:sz w:val="22"/>
        </w:rPr>
        <w:t>Supervisors are authorized to approve a maximum of two continuous learning points per 12-month period for an individual who completes the COT, whether for a warrant request action or for training purposes.</w:t>
      </w:r>
    </w:p>
    <w:p>
      <w:pPr>
        <w:pBdr>
          <w:top w:space="5"/>
          <w:left w:space="5"/>
          <w:bottom w:space="5"/>
          <w:right w:space="5"/>
        </w:pBdr>
        <w:spacing w:after="0"/>
        <w:ind w:left="585"/>
        <w:jc w:val="left"/>
      </w:pPr>
      <w:r>
        <w:rPr>
          <w:rFonts w:ascii="Times New Roman" w:hAnsi="Times New Roman"/>
          <w:b w:val="false"/>
          <w:i w:val="false"/>
          <w:color w:val="000000"/>
          <w:sz w:val="22"/>
        </w:rPr>
        <w:t>(4)</w:t>
      </w:r>
      <w:r>
        <w:rPr>
          <w:rFonts w:ascii="Times New Roman" w:hAnsi="Times New Roman"/>
          <w:b w:val="false"/>
          <w:i w:val="false"/>
          <w:color w:val="000000"/>
          <w:sz w:val="22"/>
          <w:u w:val="single"/>
        </w:rPr>
        <w:t>Practice COT</w:t>
      </w:r>
      <w:r>
        <w:rPr>
          <w:rFonts w:ascii="Times New Roman" w:hAnsi="Times New Roman"/>
          <w:b w:val="false"/>
          <w:i w:val="false"/>
          <w:color w:val="000000"/>
          <w:sz w:val="22"/>
        </w:rPr>
        <w:t>: Practice tests are available via the ADLS site in accordance with number (5) below. Practice tests may not be administered on the COT site. The completion of a practice test shall not be used as the basis for warrant eligibility.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Demonstration (Demo)</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COT</w:t>
      </w:r>
      <w:r>
        <w:rPr>
          <w:rFonts w:ascii="Times New Roman" w:hAnsi="Times New Roman"/>
          <w:b w:val="false"/>
          <w:i w:val="false"/>
          <w:color w:val="000000"/>
          <w:sz w:val="22"/>
        </w:rPr>
        <w:t xml:space="preserve">: A demo test was developed to help familiarize warrant candidates with the question structure of the COT. The Demo is a non-proctored, 50-minute, timed test consisting of ten questions which are electronically and randomly selected from a 20 question pool. Follow the instructions on the COT SharePoint page to access the demo test on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ADLS</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rPr>
        <w:t xml:space="preserve">There is no limit on the number of times the Demo COT may be taken. </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COT Maintenance</w:t>
      </w:r>
      <w:r>
        <w:rPr>
          <w:rFonts w:ascii="Times New Roman" w:hAnsi="Times New Roman"/>
          <w:b w:val="false"/>
          <w:i w:val="false"/>
          <w:color w:val="000000"/>
          <w:sz w:val="22"/>
        </w:rPr>
        <w:t>. To ensure the integrity of the COT, the database of questions, answers, and references are reviewed and updated on a regular basis. HQ AFMC/PK maintains the</w:t>
      </w:r>
    </w:p>
    <w:p>
      <w:pPr>
        <w:pBdr>
          <w:top w:space="5"/>
          <w:left w:space="5"/>
          <w:bottom w:space="5"/>
          <w:right w:space="5"/>
        </w:pBdr>
        <w:spacing w:after="0"/>
        <w:ind w:left="225"/>
        <w:jc w:val="left"/>
      </w:pPr>
      <w:r>
        <w:rPr>
          <w:rFonts w:ascii="Times New Roman" w:hAnsi="Times New Roman"/>
          <w:b w:val="false"/>
          <w:i w:val="false"/>
          <w:color w:val="000000"/>
          <w:sz w:val="22"/>
        </w:rPr>
        <w:t>COT SharePoint page and has configuration control over the COT question database and the Proctor User Guide.</w:t>
      </w:r>
    </w:p>
    <w:p>
      <w:pPr>
        <w:pBdr>
          <w:top w:space="5"/>
          <w:left w:space="5"/>
          <w:bottom w:space="5"/>
          <w:right w:space="5"/>
        </w:pBdr>
        <w:spacing w:after="0"/>
        <w:ind w:left="945"/>
        <w:jc w:val="left"/>
      </w:pPr>
      <w:r>
        <w:rPr>
          <w:rFonts w:ascii="Times New Roman" w:hAnsi="Times New Roman"/>
          <w:b w:val="false"/>
          <w:i w:val="false"/>
          <w:color w:val="000000"/>
          <w:sz w:val="22"/>
        </w:rPr>
        <w:t>(i) The MAJCOM/DRU FP (or for AFMC, the subordinate unit FP) must immediately notify HQ AFMC/PK upon discovery of an incorrect or incomplete reference or incorrect answer, or a suspect question, as evidenced by the percentage of incorrect answers selected or by test score challenges/validation efforts.</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HQ AFMC/PK is responsible for updating questions, answers, and references in the COT database, as necessary, due to errors, administrative changes, regulatory changes, etc.</w:t>
      </w:r>
    </w:p>
    <w:p>
      <w:pPr>
        <w:pBdr>
          <w:top w:space="5"/>
          <w:left w:space="5"/>
          <w:bottom w:space="5"/>
          <w:right w:space="5"/>
        </w:pBdr>
        <w:spacing w:after="0"/>
        <w:ind w:left="585"/>
        <w:jc w:val="left"/>
      </w:pPr>
      <w:r>
        <w:rPr>
          <w:rFonts w:ascii="Times New Roman" w:hAnsi="Times New Roman"/>
          <w:b w:val="false"/>
          <w:i w:val="false"/>
          <w:color w:val="000000"/>
          <w:sz w:val="22"/>
        </w:rPr>
        <w:t>(7) Additional information and testing protocols regarding the COT are located on the COT SharePoint page.</w:t>
      </w:r>
    </w:p>
    <w:p>
      <w:pPr>
        <w:pBdr>
          <w:top w:space="5"/>
          <w:left w:space="5"/>
          <w:bottom w:space="5"/>
          <w:right w:space="5"/>
        </w:pBdr>
        <w:spacing w:after="0"/>
        <w:ind w:left="585"/>
        <w:jc w:val="left"/>
      </w:pPr>
      <w:r>
        <w:rPr>
          <w:rFonts w:ascii="Times New Roman" w:hAnsi="Times New Roman"/>
          <w:b w:val="false"/>
          <w:i w:val="false"/>
          <w:color w:val="000000"/>
          <w:sz w:val="22"/>
        </w:rPr>
        <w:t>(8) When a candidate passes the COT, the COT automatically generates a COT Certificate of Completion, and the COT proctor annotates successful COT completion on the candidate’s COWER.</w:t>
      </w: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val="false"/>
          <w:i w:val="false"/>
          <w:color w:val="000000"/>
          <w:sz w:val="22"/>
          <w:u w:val="single"/>
        </w:rPr>
        <w:t>Non-Transferable Warrants</w:t>
      </w:r>
      <w:r>
        <w:rPr>
          <w:rFonts w:ascii="Times New Roman" w:hAnsi="Times New Roman"/>
          <w:b w:val="false"/>
          <w:i w:val="false"/>
          <w:color w:val="000000"/>
          <w:sz w:val="22"/>
        </w:rPr>
        <w:t>.</w:t>
      </w:r>
      <w:r>
        <w:rPr>
          <w:rFonts w:ascii="Times New Roman" w:hAnsi="Times New Roman"/>
          <w:b w:val="false"/>
          <w:i w:val="false"/>
          <w:color w:val="000000"/>
          <w:sz w:val="22"/>
        </w:rPr>
        <w:t>Non-transferable warrants may be issued for specific functions or buying activities (i.e., contract closeout, defective pricing actions, funding modifications, administrative modifications, specific contracts, units, etc.) if the requirements of AFFARS 5301.603-2-90(b) are met. Candidates for limited non-transferable warrants above the SAT should pass the COT in accordance with this MP. Warrant boards shall not be used for non-transferable warrants; however, a vetting process may be used when the resultant contract actions are expected to exceed $25M. The SF1402 must clearly state “Limited Non-Transferable Warrant” and cite the specific warrant limitations.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(i) </w:t>
      </w:r>
      <w:r>
        <w:rPr>
          <w:rFonts w:ascii="Times New Roman" w:hAnsi="Times New Roman"/>
          <w:b w:val="false"/>
          <w:i w:val="false"/>
          <w:color w:val="000000"/>
          <w:sz w:val="22"/>
          <w:u w:val="single"/>
        </w:rPr>
        <w:t>Limited Transferable Warrants</w:t>
      </w:r>
      <w:r>
        <w:rPr>
          <w:rFonts w:ascii="Times New Roman" w:hAnsi="Times New Roman"/>
          <w:b w:val="false"/>
          <w:i w:val="false"/>
          <w:color w:val="000000"/>
          <w:sz w:val="22"/>
        </w:rPr>
        <w:t>.</w:t>
      </w:r>
      <w:r>
        <w:rPr>
          <w:rFonts w:ascii="Times New Roman" w:hAnsi="Times New Roman"/>
          <w:b w:val="false"/>
          <w:i w:val="false"/>
          <w:color w:val="000000"/>
          <w:sz w:val="22"/>
        </w:rPr>
        <w:t>Warrants limited by a monetary threshold are transferable across the 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 (See AF PGI 5301.108(c)).</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Warrants&gt;SAT to &lt;$5M</w:t>
      </w:r>
      <w:r>
        <w:rPr>
          <w:rFonts w:ascii="Times New Roman" w:hAnsi="Times New Roman"/>
          <w:b w:val="false"/>
          <w:i w:val="false"/>
          <w:color w:val="000000"/>
          <w:sz w:val="22"/>
        </w:rPr>
        <w:t>. Successful completion of the COT and meeting the requirements of this MP indicate eligibility for a limited warrant above the SAT but less than $5M. Warrant boards shall not be convened for warrants within this threshold.</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Warrants $5M to $25M</w:t>
      </w:r>
      <w:r>
        <w:rPr>
          <w:rFonts w:ascii="Times New Roman" w:hAnsi="Times New Roman"/>
          <w:b w:val="false"/>
          <w:i w:val="false"/>
          <w:color w:val="000000"/>
          <w:sz w:val="22"/>
        </w:rPr>
        <w:t>.</w:t>
      </w:r>
      <w:r>
        <w:rPr>
          <w:rFonts w:ascii="Times New Roman" w:hAnsi="Times New Roman"/>
          <w:b w:val="false"/>
          <w:i w:val="false"/>
          <w:color w:val="000000"/>
          <w:sz w:val="22"/>
        </w:rPr>
        <w:t>Successful completion of the COT, meeting the requirements of this MP, and a vetting process established by the appointing official and documented on the COWER, indicate eligibility for a limited warrant from $5M to $25M. Warrant boards shall not be convened for warrants within this threshold.</w:t>
      </w:r>
    </w:p>
    <w:p>
      <w:pPr>
        <w:pBdr>
          <w:top w:space="5"/>
          <w:left w:space="5"/>
          <w:bottom w:space="5"/>
          <w:right w:space="5"/>
        </w:pBdr>
        <w:spacing w:after="0"/>
        <w:ind w:left="225"/>
        <w:jc w:val="left"/>
      </w:pPr>
      <w:r>
        <w:rPr>
          <w:rFonts w:ascii="Times New Roman" w:hAnsi="Times New Roman"/>
          <w:b w:val="false"/>
          <w:i w:val="false"/>
          <w:color w:val="000000"/>
          <w:sz w:val="22"/>
        </w:rPr>
        <w:t xml:space="preserve">(j) </w:t>
      </w:r>
      <w:r>
        <w:rPr>
          <w:rFonts w:ascii="Times New Roman" w:hAnsi="Times New Roman"/>
          <w:b w:val="false"/>
          <w:i w:val="false"/>
          <w:color w:val="000000"/>
          <w:sz w:val="22"/>
          <w:u w:val="single"/>
        </w:rPr>
        <w:t>Unlimited Warrants</w:t>
      </w:r>
      <w:r>
        <w:rPr>
          <w:rFonts w:ascii="Times New Roman" w:hAnsi="Times New Roman"/>
          <w:b w:val="false"/>
          <w:i w:val="false"/>
          <w:color w:val="000000"/>
          <w:sz w:val="22"/>
        </w:rPr>
        <w:t>.</w:t>
      </w:r>
      <w:r>
        <w:rPr>
          <w:rFonts w:ascii="Times New Roman" w:hAnsi="Times New Roman"/>
          <w:b w:val="false"/>
          <w:i w:val="false"/>
          <w:color w:val="000000"/>
          <w:sz w:val="22"/>
        </w:rPr>
        <w:t>Successful completion of the COT, meeting the requirements of this MP, and passing a warrant board indicate eligibility for an unlimited warrant. All unlimited warrants are transferable across the AF.</w:t>
      </w:r>
    </w:p>
    <w:p>
      <w:pPr>
        <w:pBdr>
          <w:top w:space="5"/>
          <w:left w:space="5"/>
          <w:bottom w:space="5"/>
          <w:right w:space="5"/>
        </w:pBdr>
        <w:spacing w:after="0"/>
        <w:ind w:left="585"/>
        <w:jc w:val="left"/>
      </w:pPr>
      <w:r>
        <w:rPr>
          <w:rFonts w:ascii="Times New Roman" w:hAnsi="Times New Roman"/>
          <w:b w:val="false"/>
          <w:i w:val="false"/>
          <w:color w:val="000000"/>
          <w:sz w:val="22"/>
        </w:rPr>
        <w:t>(1) Warrant Boards.</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Warrant boards are reserved exclusively for warrants greater than $25M and are used to further assess the candidate’s experience, qualifications, communication skills, and overall demeanor.</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Warrant boards must be chaired by the appointing official or designee at a level no lower than:</w:t>
      </w:r>
    </w:p>
    <w:p>
      <w:pPr>
        <w:pBdr>
          <w:top w:space="5"/>
          <w:left w:space="5"/>
          <w:bottom w:space="5"/>
          <w:right w:space="5"/>
        </w:pBdr>
        <w:spacing w:after="0"/>
        <w:ind w:left="1305"/>
        <w:jc w:val="left"/>
      </w:pPr>
      <w:r>
        <w:rPr>
          <w:rFonts w:ascii="Times New Roman" w:hAnsi="Times New Roman"/>
          <w:b w:val="false"/>
          <w:i w:val="false"/>
          <w:color w:val="000000"/>
          <w:sz w:val="22"/>
        </w:rPr>
        <w:t>(A) Deputy Director or Assistant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(B) Technical Director/Assistant to the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(C) Chief of the Clearance and Program Support Division or Chief of Policy;</w:t>
      </w:r>
    </w:p>
    <w:p>
      <w:pPr>
        <w:pBdr>
          <w:top w:space="5"/>
          <w:left w:space="5"/>
          <w:bottom w:space="5"/>
          <w:right w:space="5"/>
        </w:pBdr>
        <w:spacing w:after="0"/>
        <w:ind w:left="1305"/>
        <w:jc w:val="left"/>
      </w:pPr>
      <w:r>
        <w:rPr>
          <w:rFonts w:ascii="Times New Roman" w:hAnsi="Times New Roman"/>
          <w:b w:val="false"/>
          <w:i w:val="false"/>
          <w:color w:val="000000"/>
          <w:sz w:val="22"/>
        </w:rPr>
        <w:t>(D) Highest level contracting official at a geographically separated organization; or</w:t>
      </w:r>
    </w:p>
    <w:p>
      <w:pPr>
        <w:pBdr>
          <w:top w:space="5"/>
          <w:left w:space="5"/>
          <w:bottom w:space="5"/>
          <w:right w:space="5"/>
        </w:pBdr>
        <w:spacing w:after="0"/>
        <w:ind w:left="1305"/>
        <w:jc w:val="left"/>
      </w:pPr>
      <w:r>
        <w:rPr>
          <w:rFonts w:ascii="Times New Roman" w:hAnsi="Times New Roman"/>
          <w:b w:val="false"/>
          <w:i w:val="false"/>
          <w:color w:val="000000"/>
          <w:sz w:val="22"/>
        </w:rPr>
        <w:t>(E) COCO, Deputy, or equivalent.</w:t>
      </w:r>
    </w:p>
    <w:p>
      <w:pPr>
        <w:pBdr>
          <w:top w:space="5"/>
          <w:left w:space="5"/>
          <w:bottom w:space="5"/>
          <w:right w:space="5"/>
        </w:pBdr>
        <w:spacing w:after="0"/>
        <w:ind w:left="945"/>
        <w:jc w:val="left"/>
      </w:pPr>
      <w:r>
        <w:rPr>
          <w:rFonts w:ascii="Times New Roman" w:hAnsi="Times New Roman"/>
          <w:b w:val="false"/>
          <w:i w:val="false"/>
          <w:color w:val="000000"/>
          <w:sz w:val="22"/>
        </w:rPr>
        <w:t>(iii) Warrant boards must have a minimum of five members, including the board chairperson, participating to constitute a quorum. Suggested board composition includes: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 supervisors;</w:t>
      </w:r>
    </w:p>
    <w:p>
      <w:pPr>
        <w:pBdr>
          <w:top w:space="5"/>
          <w:left w:space="5"/>
          <w:bottom w:space="5"/>
          <w:right w:space="5"/>
        </w:pBdr>
        <w:spacing w:after="0"/>
        <w:ind w:left="1305"/>
        <w:jc w:val="left"/>
      </w:pPr>
      <w:r>
        <w:rPr>
          <w:rFonts w:ascii="Times New Roman" w:hAnsi="Times New Roman"/>
          <w:b w:val="false"/>
          <w:i w:val="false"/>
          <w:color w:val="000000"/>
          <w:sz w:val="22"/>
        </w:rPr>
        <w:t>(B) Representative from the staff judge advocate office;</w:t>
      </w:r>
    </w:p>
    <w:p>
      <w:pPr>
        <w:pBdr>
          <w:top w:space="5"/>
          <w:left w:space="5"/>
          <w:bottom w:space="5"/>
          <w:right w:space="5"/>
        </w:pBdr>
        <w:spacing w:after="0"/>
        <w:ind w:left="1305"/>
        <w:jc w:val="left"/>
      </w:pPr>
      <w:r>
        <w:rPr>
          <w:rFonts w:ascii="Times New Roman" w:hAnsi="Times New Roman"/>
          <w:b w:val="false"/>
          <w:i w:val="false"/>
          <w:color w:val="000000"/>
          <w:sz w:val="22"/>
        </w:rPr>
        <w:t>(C) Competition Advocate;</w:t>
      </w:r>
    </w:p>
    <w:p>
      <w:pPr>
        <w:pBdr>
          <w:top w:space="5"/>
          <w:left w:space="5"/>
          <w:bottom w:space="5"/>
          <w:right w:space="5"/>
        </w:pBdr>
        <w:spacing w:after="0"/>
        <w:ind w:left="1305"/>
        <w:jc w:val="left"/>
      </w:pPr>
      <w:r>
        <w:rPr>
          <w:rFonts w:ascii="Times New Roman" w:hAnsi="Times New Roman"/>
          <w:b w:val="false"/>
          <w:i w:val="false"/>
          <w:color w:val="000000"/>
          <w:sz w:val="22"/>
        </w:rPr>
        <w:t>(D) Clearance/program support procurement analyst;</w:t>
      </w:r>
    </w:p>
    <w:p>
      <w:pPr>
        <w:pBdr>
          <w:top w:space="5"/>
          <w:left w:space="5"/>
          <w:bottom w:space="5"/>
          <w:right w:space="5"/>
        </w:pBdr>
        <w:spacing w:after="0"/>
        <w:ind w:left="1305"/>
        <w:jc w:val="left"/>
      </w:pPr>
      <w:r>
        <w:rPr>
          <w:rFonts w:ascii="Times New Roman" w:hAnsi="Times New Roman"/>
          <w:b w:val="false"/>
          <w:i w:val="false"/>
          <w:color w:val="000000"/>
          <w:sz w:val="22"/>
        </w:rPr>
        <w:t>(E) Small business specialist/liaison;</w:t>
      </w:r>
    </w:p>
    <w:p>
      <w:pPr>
        <w:pBdr>
          <w:top w:space="5"/>
          <w:left w:space="5"/>
          <w:bottom w:space="5"/>
          <w:right w:space="5"/>
        </w:pBdr>
        <w:spacing w:after="0"/>
        <w:ind w:left="1305"/>
        <w:jc w:val="left"/>
      </w:pPr>
      <w:r>
        <w:rPr>
          <w:rFonts w:ascii="Times New Roman" w:hAnsi="Times New Roman"/>
          <w:b w:val="false"/>
          <w:i w:val="false"/>
          <w:color w:val="000000"/>
          <w:sz w:val="22"/>
        </w:rPr>
        <w:t>(F) Supervisors/Directors/Deputy Directors from other disciplines; and/or</w:t>
      </w:r>
    </w:p>
    <w:p>
      <w:pPr>
        <w:pBdr>
          <w:top w:space="5"/>
          <w:left w:space="5"/>
          <w:bottom w:space="5"/>
          <w:right w:space="5"/>
        </w:pBdr>
        <w:spacing w:after="0"/>
        <w:ind w:left="1305"/>
        <w:jc w:val="left"/>
      </w:pPr>
      <w:r>
        <w:rPr>
          <w:rFonts w:ascii="Times New Roman" w:hAnsi="Times New Roman"/>
          <w:b w:val="false"/>
          <w:i w:val="false"/>
          <w:color w:val="000000"/>
          <w:sz w:val="22"/>
        </w:rPr>
        <w:t>(G) Cost/price analyst.</w:t>
      </w:r>
    </w:p>
    <w:p>
      <w:pPr>
        <w:pBdr>
          <w:top w:space="5"/>
          <w:left w:space="5"/>
          <w:bottom w:space="5"/>
          <w:right w:space="5"/>
        </w:pBdr>
        <w:spacing w:after="0"/>
        <w:ind w:left="945"/>
        <w:jc w:val="left"/>
      </w:pPr>
      <w:r>
        <w:rPr>
          <w:rFonts w:ascii="Times New Roman" w:hAnsi="Times New Roman"/>
          <w:b w:val="false"/>
          <w:i w:val="false"/>
          <w:color w:val="000000"/>
          <w:sz w:val="22"/>
        </w:rPr>
        <w:t>(iv) Warrant board members may participate in person, by teleconference, or video conference at the discretion of the board chairperson.</w:t>
      </w:r>
    </w:p>
    <w:p>
      <w:pPr>
        <w:pBdr>
          <w:top w:space="5"/>
          <w:left w:space="5"/>
          <w:bottom w:space="5"/>
          <w:right w:space="5"/>
        </w:pBdr>
        <w:spacing w:after="0"/>
        <w:ind w:left="945"/>
        <w:jc w:val="left"/>
      </w:pPr>
      <w:r>
        <w:rPr>
          <w:rFonts w:ascii="Times New Roman" w:hAnsi="Times New Roman"/>
          <w:b w:val="false"/>
          <w:i w:val="false"/>
          <w:color w:val="000000"/>
          <w:sz w:val="22"/>
        </w:rPr>
        <w:t>(v) The warrant candidate must correctly answer and/or discuss no fewer than 10 questions, seven of which must be obtained from the scenario-based AF question repository. To obtain access to the question repository, submit the Warrant Process Focal Point Designation Form to</w:t>
      </w:r>
    </w:p>
    <w:p>
      <w:pPr>
        <w:pBdr>
          <w:top w:space="5"/>
          <w:left w:space="5"/>
          <w:bottom w:space="5"/>
          <w:right w:space="5"/>
        </w:pBdr>
        <w:spacing w:after="0"/>
        <w:ind w:left="585"/>
        <w:jc w:val="left"/>
      </w:pPr>
      <w:r>
        <w:rPr>
          <w:rFonts w:ascii="Times New Roman" w:hAnsi="Times New Roman"/>
          <w:b w:val="false"/>
          <w:i w:val="false"/>
          <w:color w:val="000000"/>
          <w:sz w:val="22"/>
        </w:rPr>
        <w:t>HQ AFMC/PK</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pPr>
        <w:pBdr>
          <w:top w:space="5"/>
          <w:left w:space="5"/>
          <w:bottom w:space="5"/>
          <w:right w:space="5"/>
        </w:pBdr>
        <w:spacing w:after="0"/>
        <w:ind w:left="945"/>
        <w:jc w:val="left"/>
      </w:pPr>
      <w:r>
        <w:rPr>
          <w:rFonts w:ascii="Times New Roman" w:hAnsi="Times New Roman"/>
          <w:b w:val="false"/>
          <w:i w:val="false"/>
          <w:color w:val="000000"/>
          <w:sz w:val="22"/>
        </w:rPr>
        <w:t>(vi) The board chairperson/appointing official, in consultation with the board members, may appoint an unlimited warrant, a limited, specified dollar warrant, or none. Individuals awarded an unlimited warrant as a result of a warrant board shall not be required to sit before the board again.</w:t>
      </w:r>
    </w:p>
    <w:p>
      <w:pPr>
        <w:pBdr>
          <w:top w:space="5"/>
          <w:left w:space="5"/>
          <w:bottom w:space="5"/>
          <w:right w:space="5"/>
        </w:pBdr>
        <w:spacing w:after="0"/>
        <w:ind w:left="225"/>
        <w:jc w:val="left"/>
      </w:pPr>
      <w:r>
        <w:rPr>
          <w:rFonts w:ascii="Times New Roman" w:hAnsi="Times New Roman"/>
          <w:b w:val="false"/>
          <w:i w:val="false"/>
          <w:color w:val="000000"/>
          <w:sz w:val="22"/>
        </w:rPr>
        <w:t>(k)</w:t>
      </w:r>
      <w:r>
        <w:rPr>
          <w:rFonts w:ascii="Times New Roman" w:hAnsi="Times New Roman"/>
          <w:b w:val="false"/>
          <w:i w:val="false"/>
          <w:color w:val="000000"/>
          <w:sz w:val="22"/>
          <w:u w:val="single"/>
        </w:rPr>
        <w:t>Warrant Transfer</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and Reinstatement</w:t>
      </w:r>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 Warrants issued in accordance with this MP, with the exception of those issued in accordance with paragraph (h) above, are transferable across the AF. As long as a warrant is in good standing, an individual shall not be required to test or board again. However, warrant transferability does not guarantee immediate utilization, as the appointing official may determine that time is needed to facilitate familiarity with new workload responsibilities and organizational procedures. When a CO, including those grandfathered, transfers to an organization with a different appointing official and the new position requires a warrant,</w:t>
      </w:r>
      <w:r>
        <w:rPr>
          <w:rFonts w:ascii="Times New Roman" w:hAnsi="Times New Roman"/>
          <w:b w:val="false"/>
          <w:i w:val="false"/>
          <w:color w:val="000000"/>
          <w:sz w:val="22"/>
        </w:rPr>
        <w:t>the gaining appointing official must obtain a copy of the current COWER from the losing appointing official.</w:t>
      </w:r>
    </w:p>
    <w:p>
      <w:pPr>
        <w:pBdr>
          <w:top w:space="5"/>
          <w:left w:space="5"/>
          <w:bottom w:space="5"/>
          <w:right w:space="5"/>
        </w:pBdr>
        <w:spacing w:after="0"/>
        <w:ind w:left="585"/>
        <w:jc w:val="left"/>
      </w:pPr>
      <w:r>
        <w:rPr>
          <w:rFonts w:ascii="Times New Roman" w:hAnsi="Times New Roman"/>
          <w:b w:val="false"/>
          <w:i w:val="false"/>
          <w:color w:val="000000"/>
          <w:sz w:val="22"/>
        </w:rPr>
        <w:t>(2) 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COWER. The appointing official shall document their assessment and rationale for warrant reinstatement on the COWER.</w:t>
      </w:r>
    </w:p>
    <w:p>
      <w:pPr>
        <w:pBdr>
          <w:top w:space="5"/>
          <w:left w:space="5"/>
          <w:bottom w:space="5"/>
          <w:right w:space="5"/>
        </w:pBdr>
        <w:spacing w:after="0"/>
        <w:ind w:left="225"/>
        <w:jc w:val="left"/>
      </w:pPr>
      <w:r>
        <w:rPr>
          <w:rFonts w:ascii="Times New Roman" w:hAnsi="Times New Roman"/>
          <w:b w:val="false"/>
          <w:i w:val="false"/>
          <w:color w:val="000000"/>
          <w:sz w:val="22"/>
        </w:rPr>
        <w:t xml:space="preserve">(l) </w:t>
      </w:r>
      <w:r>
        <w:rPr>
          <w:rFonts w:ascii="Times New Roman" w:hAnsi="Times New Roman"/>
          <w:b w:val="false"/>
          <w:i w:val="false"/>
          <w:color w:val="000000"/>
          <w:sz w:val="22"/>
          <w:u w:val="single"/>
        </w:rPr>
        <w:t>Grandfathered Contracting Officers</w:t>
      </w:r>
      <w:r>
        <w:rPr>
          <w:rFonts w:ascii="Times New Roman" w:hAnsi="Times New Roman"/>
          <w:b w:val="false"/>
          <w:i w:val="false"/>
          <w:color w:val="000000"/>
          <w:sz w:val="22"/>
        </w:rPr>
        <w:t>. Current COs are not required to be tested, boarded, or reappointed as a result of the issuance of, or changes to, this MP. However, those with limited non-transferable or limited transferable warrants must meet the requirements of this MP to obtain a transferable and/or higher dollar value warrant. Taking of the COT is only required for those candidates holding a limited non-transferable warrant.</w:t>
      </w:r>
    </w:p>
    <w:p>
      <w:pPr>
        <w:pBdr>
          <w:top w:space="5"/>
          <w:left w:space="5"/>
          <w:bottom w:space="5"/>
          <w:right w:space="5"/>
        </w:pBdr>
        <w:spacing w:after="0"/>
        <w:ind w:left="225"/>
        <w:jc w:val="left"/>
      </w:pPr>
      <w:r>
        <w:rPr>
          <w:rFonts w:ascii="Times New Roman" w:hAnsi="Times New Roman"/>
          <w:b w:val="false"/>
          <w:i w:val="false"/>
          <w:color w:val="000000"/>
          <w:sz w:val="22"/>
        </w:rPr>
        <w:t xml:space="preserve">(m) </w:t>
      </w:r>
      <w:r>
        <w:rPr>
          <w:rFonts w:ascii="Times New Roman" w:hAnsi="Times New Roman"/>
          <w:b w:val="false"/>
          <w:i w:val="false"/>
          <w:color w:val="000000"/>
          <w:sz w:val="22"/>
          <w:u w:val="single"/>
        </w:rPr>
        <w:t>Warrants Issued Based on</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External Warrant Credentials</w:t>
      </w:r>
      <w:r>
        <w:rPr>
          <w:rFonts w:ascii="Times New Roman" w:hAnsi="Times New Roman"/>
          <w:b w:val="false"/>
          <w:i w:val="false"/>
          <w:color w:val="000000"/>
          <w:sz w:val="22"/>
        </w:rPr>
        <w:t xml:space="preserve">. </w:t>
      </w:r>
      <w:r>
        <w:rPr>
          <w:rFonts w:ascii="Times New Roman" w:hAnsi="Times New Roman"/>
          <w:b w:val="false"/>
          <w:i w:val="false"/>
          <w:color w:val="000000"/>
          <w:sz w:val="22"/>
        </w:rPr>
        <w:t xml:space="preserve">A new AF 1102 with external, federal government CO experience may be issued an AF warrant without meeting the requirements of this MP (COT and vetting process or warrant board) based on the discretion of the appointing official, provided they meet the qualification requirements at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201.603-2</w:t>
        </w:r>
      </w:hyperlink>
      <w:r>
        <w:rPr>
          <w:rFonts w:ascii="Times New Roman" w:hAnsi="Times New Roman"/>
          <w:b w:val="false"/>
          <w:i w:val="false"/>
          <w:color w:val="000000"/>
          <w:sz w:val="22"/>
        </w:rPr>
        <w:t>. The appointing official must conduct an assessment of the candidate’s qualifications and experience prior to the issuance of an AF warrant. The appointing official shall document the rationale for appointment on the COWER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See sample criteria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(n) </w:t>
      </w:r>
      <w:r>
        <w:rPr>
          <w:rFonts w:ascii="Times New Roman" w:hAnsi="Times New Roman"/>
          <w:b w:val="false"/>
          <w:i w:val="false"/>
          <w:color w:val="000000"/>
          <w:sz w:val="22"/>
          <w:u w:val="single"/>
        </w:rPr>
        <w:t>Reissuance of Warrant Certificates</w:t>
      </w:r>
      <w:r>
        <w:rPr>
          <w:rFonts w:ascii="Times New Roman" w:hAnsi="Times New Roman"/>
          <w:b w:val="false"/>
          <w:i w:val="false"/>
          <w:color w:val="000000"/>
          <w:sz w:val="22"/>
        </w:rPr>
        <w:t>. A request to reissue an existing warrant certificate for administrative purposes (e.g., damage to or deterioration of the original SF1402, name changes, etc.) is not a new appointment and may be submitted directly to the FP for processing to the appropriate appointing official; use of the COWER is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(o) </w:t>
      </w:r>
      <w:r>
        <w:rPr>
          <w:rFonts w:ascii="Times New Roman" w:hAnsi="Times New Roman"/>
          <w:b w:val="false"/>
          <w:i w:val="false"/>
          <w:color w:val="000000"/>
          <w:sz w:val="22"/>
          <w:u w:val="single"/>
        </w:rPr>
        <w:t>Warrant Suspension or Termination for Cause</w:t>
      </w:r>
      <w:r>
        <w:rPr>
          <w:rFonts w:ascii="Times New Roman" w:hAnsi="Times New Roman"/>
          <w:b w:val="false"/>
          <w:i w:val="false"/>
          <w:color w:val="000000"/>
          <w:sz w:val="22"/>
        </w:rPr>
        <w:t>. Warrants may be suspended or terminated for unsatisfactory performance. The appointing official may suspend a warrant in writing until proficiency is demonstrated to the satisfaction of the appointing official. If a warrant is terminated for cause, the candidate must be reappointed in accordance with paragraphs (h), (i), or (j) of this MP.</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b:/r/teams/PK-Central/AFCC/afmc_pk_mp_ig/Templates/warrant_process_focal_point_designation.pdf" Type="http://schemas.openxmlformats.org/officeDocument/2006/relationships/hyperlink" Id="rId4"/>
    <Relationship TargetMode="External" Target="https://usaf.dps.mil/teams/PK-Central/AFCC/afmc_pk_mp_ig/Warrant/SitePages/Warrant-Home.aspx" Type="http://schemas.openxmlformats.org/officeDocument/2006/relationships/hyperlink" Id="rId5"/>
    <Relationship TargetMode="External" Target="mailto:HQAFMCPK.PKQ.Workflow@us.af.mil" Type="http://schemas.openxmlformats.org/officeDocument/2006/relationships/hyperlink" Id="rId6"/>
    <Relationship TargetMode="External" Target="https://www.gsa.gov/forms-library/certificate-appointment" Type="http://schemas.openxmlformats.org/officeDocument/2006/relationships/hyperlink" Id="rId7"/>
    <Relationship TargetMode="External" Target="https://usaf.dps.mil/sites/AFCC/KnowledgeCenter/contracting_templates/co_appointment_warrant__transfer_termination_request.pdf" Type="http://schemas.openxmlformats.org/officeDocument/2006/relationships/hyperlink" Id="rId8"/>
    <Relationship TargetMode="External" Target="www.acquisition.gov" Type="http://schemas.openxmlformats.org/officeDocument/2006/relationships/hyperlink" Id="rId9"/>
    <Relationship TargetMode="External" Target="https://golearn.adls.af.mil/login.aspx" Type="http://schemas.openxmlformats.org/officeDocument/2006/relationships/hyperlink" Id="rId10"/>
    <Relationship TargetMode="External" Target="https://www.acquisition.gov/dfars/part-201-federal-acquisition-regulations-system" Type="http://schemas.openxmlformats.org/officeDocument/2006/relationships/hyperlink" Id="rId11"/>
    <Relationship TargetMode="External" Target="https://usaf.dps.mil/sites/AFCC/KnowledgeCenter/Documents/External_Warrant_Credential_Considerations.docx" Type="http://schemas.openxmlformats.org/officeDocument/2006/relationships/hyperlink" Id="rId1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