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**ID__AFFARS_MP5301_9001B__ID**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MP5301.9001b</w:t>
      </w:r>
      <w:r>
        <w:rPr>
          <w:rFonts w:ascii="Times New Roman" w:hAnsi="Times New Roman"/>
          <w:i w:val="false"/>
          <w:color w:val="000000"/>
          <w:sz w:val="36"/>
        </w:rPr>
        <w:t xml:space="preserve"> (B) Business Clearance Approval for Competitive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will submit notifications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thirty days prior to the anticipated Business Clearance Session with the DAS(C)/ADAS(C), and no later than 10 business days prior to the desired Business Clearance Session, the contracting officer will forward the following documents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Business Clearance Approval;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(3)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Request for Business Clearance (competitive) briefing charts;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(4)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Request for Proposal (including attachments);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(5)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a case-by-case basis, additional documentation may be requested in support of the SAF/AQC and/or DoD Peer Review (e.g., Source Selection Plan, Acquisition Strategy Document, Acquisition Strategy Plan Charts).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(6)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designated CR will conduct the clearance review prior to submitting the required clearance documents to SAF/AQC.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(7)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Business Clearance Session to brief the DAS(C)/ADAS(C) occurs either before or after the commencement of the DoD Phase 1 Peer Review. The decision to hold Peer Reviews prior to Business Clearance approval will be made in coordination with SAF/AQC. Should Business Clearance be held prior to the Peer Review, Business Clearance is conditioned upon successful completion of the Peer Review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5301.170-2(b)(1)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_PGI_5301_170_2.dita#AFFARS_AF_PGI_5301_170_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