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**ID__AFFARS_mp_5301_9001_i_1_i_topic_3__ID**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6"/>
        </w:rPr>
        <w:t>MP5301.9001b</w:t>
      </w:r>
      <w:r>
        <w:rPr>
          <w:rFonts w:ascii="Times New Roman" w:hAnsi="Times New Roman"/>
          <w:i w:val="false"/>
          <w:color w:val="000000"/>
          <w:sz w:val="36"/>
        </w:rPr>
        <w:t xml:space="preserve"> (B) Business Clearance Approval for Competitive Actions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(1)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The contracting officer will submit notifications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thirty days prior to the anticipated Business Clearance Session with the DAS(C)/ADAS(C), and no later than 10 business days prior to the desired Business Clearance Session, the contracting officer will forward the following documents through the SCO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(2)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Business Clearance Approval;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(3)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Request for Business Clearance (competitive) briefing charts;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(4)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Request for Proposal (including attachments);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(5)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On a case-by-case basis, additional documentation may be requested in support of the SAF/AQC and/or DoD Peer Review (e.g., Source Selection Plan, Acquisition Strategy Document, Acquisition Strategy Plan Charts).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(6)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The designated CR will conduct the clearance review prior to submitting the required clearance documents to SAF/AQC.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(7)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The Business Clearance Session to brief the DAS(C)/ADAS(C) occurs either before or after the commencement of the DoD Phase 1 Peer Review. The decision to hold Peer Reviews prior to Business Clearance approval will be made in coordination with SAF/AQC. Should Business Clearance be held prior to the Peer Review, Business Clearance is conditioned upon successful completion of the Peer Review in accordance with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5301.170-2(b)(1)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    <Relationship TargetMode="External" Target="AF_PGI_5301_170_2.dita#AFFARS_pgi_5301_topic_4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