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**ID__AFFARS_mp_5306_502_topic_1__ID**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48"/>
        </w:rPr>
        <w:t>MP5306.502</w:t>
      </w:r>
      <w:r>
        <w:rPr>
          <w:rFonts w:ascii="Times New Roman" w:hAnsi="Times New Roman"/>
          <w:color w:val="000000"/>
          <w:sz w:val="48"/>
        </w:rPr>
        <w:t xml:space="preserve"> Air Force Competition and Commercial Advocacy Program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This Mandatory Procedure (MP) implements, in part, AFPD 64-1, </w:t>
      </w:r>
      <w:r>
        <w:rPr>
          <w:rFonts w:ascii="Times New Roman" w:hAnsi="Times New Roman"/>
          <w:b w:val="false"/>
          <w:i/>
          <w:color w:val="000000"/>
          <w:sz w:val="22"/>
        </w:rPr>
        <w:t>The Contracting System,</w:t>
      </w:r>
      <w:r>
        <w:rPr>
          <w:rFonts w:ascii="Times New Roman" w:hAnsi="Times New Roman"/>
          <w:b w:val="false"/>
          <w:i w:val="false"/>
          <w:color w:val="000000"/>
          <w:sz w:val="22"/>
        </w:rPr>
        <w:t>and 41 USC 1705. This MP provides guidance and procedures for personnel implementing the Air Force Competition and Commercial Advocacy Program.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 Objectives.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 Duties and Responsibilities.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 Appointment of the Competition and Commercial Advocate.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 Annual Competition and Commercial Reporting Requirements.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 Objectives.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 Duties and Responsibilities.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 Appointment of the Competition and Commercial Advocate.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 Annual Competition and Commercial Reporting Requirements.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 Objectives.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 Duties and Responsibilities.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 Appointment of the Competition and Commercial Advocate.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 Annual Competition and Commercial Reporting Requirements.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_5306_502_1.dita#AFFARS_mp_5306_502_topic_2" Type="http://schemas.openxmlformats.org/officeDocument/2006/relationships/hyperlink" Id="rId4"/>
    <Relationship TargetMode="External" Target="MP_5306_502_2.dita#AFFARS_mp_5306_502_topic_3" Type="http://schemas.openxmlformats.org/officeDocument/2006/relationships/hyperlink" Id="rId5"/>
    <Relationship TargetMode="External" Target="MP_5306_502_3.dita#AFFARS_mp_5306_502_topic_4" Type="http://schemas.openxmlformats.org/officeDocument/2006/relationships/hyperlink" Id="rId6"/>
    <Relationship TargetMode="External" Target="MP_5306_502_4.dita#AFFARS_mp_5306_502_topic_5" Type="http://schemas.openxmlformats.org/officeDocument/2006/relationships/hyperlink" Id="rId7"/>
    <Relationship TargetMode="External" Target="MP_5306_502_1.dita#AFFARS_mp_5306_502_topic_2" Type="http://schemas.openxmlformats.org/officeDocument/2006/relationships/hyperlink" Id="rId8"/>
    <Relationship TargetMode="External" Target="MP_5306_502_2.dita#AFFARS_mp_5306_502_topic_3" Type="http://schemas.openxmlformats.org/officeDocument/2006/relationships/hyperlink" Id="rId9"/>
    <Relationship TargetMode="External" Target="MP_5306_502_3.dita#AFFARS_mp_5306_502_topic_4" Type="http://schemas.openxmlformats.org/officeDocument/2006/relationships/hyperlink" Id="rId10"/>
    <Relationship TargetMode="External" Target="MP_5306_502_4.dita#AFFARS_mp_5306_502_topic_5" Type="http://schemas.openxmlformats.org/officeDocument/2006/relationships/hyperlink" Id="rId11"/>
    <Relationship TargetMode="External" Target="MP_5306_502_1.dita#AFFARS_mp_5306_502_topic_2" Type="http://schemas.openxmlformats.org/officeDocument/2006/relationships/hyperlink" Id="rId12"/>
    <Relationship TargetMode="External" Target="MP_5306_502_2.dita#AFFARS_mp_5306_502_topic_3" Type="http://schemas.openxmlformats.org/officeDocument/2006/relationships/hyperlink" Id="rId13"/>
    <Relationship TargetMode="External" Target="MP_5306_502_3.dita#AFFARS_mp_5306_502_topic_4" Type="http://schemas.openxmlformats.org/officeDocument/2006/relationships/hyperlink" Id="rId14"/>
    <Relationship TargetMode="External" Target="MP_5306_502_4.dita#AFFARS_mp_5306_502_topic_5" Type="http://schemas.openxmlformats.org/officeDocument/2006/relationships/hyperlink" Id="rId1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