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**ID__AFFARS_MP_5306_502_3__ID**</w:t>
      </w:r>
    </w:p>
    <w:p>
      <w:pPr>
        <w:pStyle w:val="Heading4"/>
        <w:spacing w:after="269"/>
        <w:ind w:left="120"/>
        <w:jc w:val="left"/>
      </w:pPr>
      <w:r>
        <w:rPr>
          <w:rFonts w:ascii="Times New Roman" w:hAnsi="Times New Roman"/>
          <w:i w:val="false"/>
          <w:color w:val="000000"/>
          <w:sz w:val="36"/>
        </w:rPr>
        <w:t>3.</w:t>
      </w:r>
      <w:r>
        <w:rPr>
          <w:rFonts w:ascii="Times New Roman" w:hAnsi="Times New Roman"/>
          <w:i w:val="false"/>
          <w:color w:val="000000"/>
          <w:sz w:val="36"/>
        </w:rPr>
        <w:t xml:space="preserve"> Appointment of the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Appointments.3.1.1.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 Competition Advocate General appoints procuring/contracting activity Competition and Commercial Advocates. MAJCOM/DRU/AFRCO/SpRCO/SMC SCOs must nominate a primary and alternate Competition and Commercial Advocate for each of the procuring/contracting activities identified at AFFARS 5306.501 to the AF Competition Advocate General. The AFICC SCO or civilian deputy must be the primary Competition and Commercial Advocate for the MAJCOM they support. SCOs must submit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competition_advocate_nomination.pdf" Type="http://schemas.openxmlformats.org/officeDocument/2006/relationships/hyperlink" Id="rId4"/>
    <Relationship TargetMode="External" Target="mailto:SAF.AQ.SAF-AQCP.Workflow@us.af.mil" Type="http://schemas.openxmlformats.org/officeDocument/2006/relationships/hyperlink" Id="rId5"/>
    <Relationship TargetMode="External" Target="https://usaf.dps.mil/sites/AFCC/KnowledgeCenter/Lists/competition_advocates/AllItems.aspx" Type="http://schemas.openxmlformats.org/officeDocument/2006/relationships/hyperlink" Id="rId6"/>
    <Relationship TargetMode="External" Target="https://usaf.dps.mil/sites/AFCC/KnowledgeCenter/contracting_templates/competition_advocate_appointment.pdf" Type="http://schemas.openxmlformats.org/officeDocument/2006/relationships/hyperlink" Id="rId7"/>
    <Relationship TargetMode="External" Target="https://usaf.dps.mil/sites/AFCC/KnowledgeCenter/contracting_templates/competition_advocates_poster.pdf" Type="http://schemas.openxmlformats.org/officeDocument/2006/relationships/hyperlink" Id="rId8"/>
    <Relationship TargetMode="External" Target="https://usaf.dps.mil/sites/AFCC/KnowledgeCenter/Lists/competition_advocates/AllItems.aspx"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