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Information on awards must not be released and awards shall not be made until after the agency announces the award 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https://www.defense.gov/News/Contracts/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Contract announcements are posted at 1700 EST daily.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contracting officer must submit all 1279 reports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SAF/LLP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by close of business three workdays before the date of the proposed contract award. SAF/LLP may shorten the three-day advance notification requirement if requested by the contracting officer. For actions valued at $50M and above, email a courtesy copy of the 1279 report to the cognizant SCO and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Follow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MP5305.303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prepare 1279 reports.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5305.303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efense.gov/News/Contracts/" Type="http://schemas.openxmlformats.org/officeDocument/2006/relationships/hyperlink" Id="rId4"/>
    <Relationship TargetMode="External" Target="mailto:SAF.LLP.contract.ancmt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SMC_PGI_5305_303.dita#AFFARS_SMC_PGI_5305_30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