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**ID__AFFARS_mp_5309_190_topic_3__ID**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6"/>
        </w:rPr>
        <w:t>MP5309.190-2</w:t>
      </w:r>
      <w:r>
        <w:rPr>
          <w:rFonts w:ascii="Times New Roman" w:hAnsi="Times New Roman"/>
          <w:i w:val="false"/>
          <w:color w:val="000000"/>
          <w:sz w:val="36"/>
        </w:rPr>
        <w:t xml:space="preserve"> Processes When a Contractor or Subcontractor is Listed on the CRWL</w:t>
      </w:r>
    </w:p>
    <w:p>
      <w:pPr>
        <w:pBdr>
          <w:top w:space="5"/>
          <w:left w:space="5"/>
          <w:bottom w:space="5"/>
          <w:right w:space="5"/>
        </w:pBdr>
        <w:spacing w:after="0"/>
        <w:ind w:left="225"/>
        <w:jc w:val="left"/>
      </w:pPr>
      <w:r>
        <w:rPr>
          <w:rFonts w:ascii="Times New Roman" w:hAnsi="Times New Roman"/>
          <w:b w:val="false"/>
          <w:i w:val="false"/>
          <w:color w:val="000000"/>
          <w:sz w:val="22"/>
        </w:rPr>
        <w:t xml:space="preserve">Procedures for proceeding with an action listed in </w:t>
      </w:r>
      <w:hyperlink r:id="rId4">
        <w:r>
          <w:rPr>
            <w:rStyle w:val="Hyperlink"/>
            <w:rFonts w:ascii="Times New Roman" w:hAnsi="Times New Roman"/>
            <w:b w:val="false"/>
            <w:i w:val="false"/>
            <w:color w:val="0000ff"/>
            <w:sz w:val="22"/>
            <w:u w:val="single"/>
          </w:rPr>
          <w:t>AFFARS 5309.103(b)(iii)</w:t>
        </w:r>
      </w:hyperlink>
      <w:r>
        <w:rPr>
          <w:rFonts w:ascii="Times New Roman" w:hAnsi="Times New Roman"/>
          <w:b w:val="false"/>
          <w:i w:val="false"/>
          <w:color w:val="000000"/>
          <w:sz w:val="22"/>
        </w:rPr>
        <w:t xml:space="preserve"> when the contractor or subcontractor is listed on the CRWL.</w:t>
      </w:r>
    </w:p>
    <w:p>
      <w:pPr>
        <w:pBdr>
          <w:top w:space="5"/>
          <w:left w:space="5"/>
          <w:bottom w:space="5"/>
          <w:right w:space="5"/>
        </w:pBdr>
        <w:spacing w:after="0"/>
        <w:ind w:left="225"/>
        <w:jc w:val="left"/>
      </w:pPr>
      <w:r>
        <w:rPr>
          <w:rFonts w:ascii="Times New Roman" w:hAnsi="Times New Roman"/>
          <w:b w:val="false"/>
          <w:i w:val="false"/>
          <w:color w:val="000000"/>
          <w:sz w:val="22"/>
        </w:rPr>
        <w:t xml:space="preserve">(a) Prime Contractors. Review the facts surrounding the decision to place the contractor on the CRWL (See </w:t>
      </w:r>
      <w:hyperlink r:id="rId5">
        <w:r>
          <w:rPr>
            <w:rStyle w:val="Hyperlink"/>
            <w:rFonts w:ascii="Times New Roman" w:hAnsi="Times New Roman"/>
            <w:b w:val="false"/>
            <w:i w:val="false"/>
            <w:color w:val="0000ff"/>
            <w:sz w:val="22"/>
            <w:u w:val="single"/>
          </w:rPr>
          <w:t>AFFARS 5309.105-1(a)(1)</w:t>
        </w:r>
      </w:hyperlink>
      <w:r>
        <w:rPr>
          <w:rFonts w:ascii="Times New Roman" w:hAnsi="Times New Roman"/>
          <w:b w:val="false"/>
          <w:i w:val="false"/>
          <w:color w:val="000000"/>
          <w:sz w:val="22"/>
        </w:rPr>
        <w:t xml:space="preserve"> ) and other relevant information to determine whether to recommend proceeding with the action. The determination is documented using a contracting officer’s D&amp;F.</w:t>
      </w:r>
    </w:p>
    <w:p>
      <w:pPr>
        <w:pBdr>
          <w:top w:space="5"/>
          <w:left w:space="5"/>
          <w:bottom w:space="5"/>
          <w:right w:space="5"/>
        </w:pBdr>
        <w:spacing w:after="0"/>
        <w:ind w:left="585"/>
        <w:jc w:val="left"/>
      </w:pPr>
      <w:r>
        <w:rPr>
          <w:rFonts w:ascii="Times New Roman" w:hAnsi="Times New Roman"/>
          <w:b w:val="false"/>
          <w:i w:val="false"/>
          <w:color w:val="000000"/>
          <w:sz w:val="22"/>
        </w:rPr>
        <w:t xml:space="preserve">(1) If the contracting officer’s determination recommends proceeding despite the contractor being listed on the CRWL, the contracting officer must obtain approval of the 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tailored for SMC</w:t>
        </w:r>
      </w:hyperlink>
      <w:r>
        <w:rPr>
          <w:rFonts w:ascii="Times New Roman" w:hAnsi="Times New Roman"/>
          <w:b w:val="false"/>
          <w:i w:val="false"/>
          <w:color w:val="000000"/>
          <w:sz w:val="22"/>
        </w:rPr>
        <w:t xml:space="preserve"> (See </w:t>
      </w:r>
      <w:hyperlink r:id="rId7">
        <w:r>
          <w:rPr>
            <w:rStyle w:val="Hyperlink"/>
            <w:rFonts w:ascii="Times New Roman" w:hAnsi="Times New Roman"/>
            <w:b w:val="false"/>
            <w:i w:val="false"/>
            <w:color w:val="0000ff"/>
            <w:sz w:val="22"/>
            <w:u w:val="single"/>
          </w:rPr>
          <w:t>AFFARS 5309.105-2(a)(1)</w:t>
        </w:r>
      </w:hyperlink>
      <w:r>
        <w:rPr>
          <w:rFonts w:ascii="Times New Roman" w:hAnsi="Times New Roman"/>
          <w:b w:val="false"/>
          <w:i w:val="false"/>
          <w:color w:val="000000"/>
          <w:sz w:val="22"/>
        </w:rPr>
        <w:t xml:space="preserve"> ). When the conditions in FAR 9.105-2(b)(2)(i) apply, the determination of non-responsibility shall be documented in FAPIIS.</w:t>
      </w:r>
    </w:p>
    <w:p>
      <w:pPr>
        <w:pBdr>
          <w:top w:space="5"/>
          <w:left w:space="5"/>
          <w:bottom w:space="5"/>
          <w:right w:space="5"/>
        </w:pBdr>
        <w:spacing w:after="0"/>
        <w:ind w:left="585"/>
        <w:jc w:val="left"/>
      </w:pPr>
      <w:r>
        <w:rPr>
          <w:rFonts w:ascii="Times New Roman" w:hAnsi="Times New Roman"/>
          <w:b w:val="false"/>
          <w:i w:val="false"/>
          <w:color w:val="000000"/>
          <w:sz w:val="22"/>
        </w:rPr>
        <w:t xml:space="preserve">(2) If the action was a sole source contract award, entering into discussions (or equivalent activity), or a competitive contract award and the contracting officer determines not to proceed with the action, the contracting officer shall make a determination of non-responsibility (which does not require SMC/CC approval) and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tailored for SMC</w:t>
        </w:r>
      </w:hyperlink>
      <w:r>
        <w:rPr>
          <w:rFonts w:ascii="Times New Roman" w:hAnsi="Times New Roman"/>
          <w:b w:val="false"/>
          <w:i w:val="false"/>
          <w:color w:val="000000"/>
          <w:sz w:val="22"/>
        </w:rPr>
        <w:t xml:space="preserve"> (See </w:t>
      </w:r>
      <w:hyperlink r:id="rId9">
        <w:r>
          <w:rPr>
            <w:rStyle w:val="Hyperlink"/>
            <w:rFonts w:ascii="Times New Roman" w:hAnsi="Times New Roman"/>
            <w:b w:val="false"/>
            <w:i w:val="false"/>
            <w:color w:val="0000ff"/>
            <w:sz w:val="22"/>
            <w:u w:val="single"/>
          </w:rPr>
          <w:t>AFFARS 5309.105-2(a)(1)</w:t>
        </w:r>
      </w:hyperlink>
      <w:r>
        <w:rPr>
          <w:rFonts w:ascii="Times New Roman" w:hAnsi="Times New Roman"/>
          <w:b w:val="false"/>
          <w:i w:val="false"/>
          <w:color w:val="000000"/>
          <w:sz w:val="22"/>
        </w:rPr>
        <w:t xml:space="preserve"> ). When the conditions in FAR 9.105-2(b)(2)(i) apply, the determination of non-responsibility shall be documented in FAPIIS.</w:t>
      </w:r>
    </w:p>
    <w:p>
      <w:pPr>
        <w:pBdr>
          <w:top w:space="5"/>
          <w:left w:space="5"/>
          <w:bottom w:space="5"/>
          <w:right w:space="5"/>
        </w:pBdr>
        <w:spacing w:after="0"/>
        <w:ind w:left="585"/>
        <w:jc w:val="left"/>
      </w:pPr>
      <w:r>
        <w:rPr>
          <w:rFonts w:ascii="Times New Roman" w:hAnsi="Times New Roman"/>
          <w:b w:val="false"/>
          <w:i w:val="false"/>
          <w:color w:val="000000"/>
          <w:sz w:val="22"/>
        </w:rP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w:t>
      </w:r>
      <w:hyperlink r:id="rId10">
        <w:r>
          <w:rPr>
            <w:rStyle w:val="Hyperlink"/>
            <w:rFonts w:ascii="Times New Roman" w:hAnsi="Times New Roman"/>
            <w:b w:val="false"/>
            <w:i w:val="false"/>
            <w:color w:val="0000ff"/>
            <w:sz w:val="22"/>
            <w:u w:val="single"/>
          </w:rPr>
          <w:t>AFFARS 5309.105-1(a)(1)</w:t>
        </w:r>
      </w:hyperlink>
      <w:r>
        <w:rPr>
          <w:rFonts w:ascii="Times New Roman" w:hAnsi="Times New Roman"/>
          <w:b w:val="false"/>
          <w:i w:val="false"/>
          <w:color w:val="000000"/>
          <w:sz w:val="22"/>
        </w:rPr>
        <w:t xml:space="preserve"> ),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If the contractor’s request for subcontract consent is submitted post award, consider it upon receipt.</w:t>
      </w:r>
    </w:p>
    <w:p>
      <w:pPr>
        <w:pBdr>
          <w:top w:space="5"/>
          <w:left w:space="5"/>
          <w:bottom w:space="5"/>
          <w:right w:space="5"/>
        </w:pBdr>
        <w:spacing w:after="0"/>
        <w:ind w:left="585"/>
        <w:jc w:val="left"/>
      </w:pPr>
      <w:r>
        <w:rPr>
          <w:rFonts w:ascii="Times New Roman" w:hAnsi="Times New Roman"/>
          <w:b w:val="false"/>
          <w:i w:val="false"/>
          <w:color w:val="000000"/>
          <w:sz w:val="22"/>
        </w:rPr>
        <w:t>(1) If the contracting officer recommends granting consent despite the proposed subcontractor’s listing on the CRWL, the contracting officer must obtain approval from 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w:t>
      </w:r>
    </w:p>
    <w:p>
      <w:pPr>
        <w:pBdr>
          <w:top w:space="5"/>
          <w:left w:space="5"/>
          <w:bottom w:space="5"/>
          <w:right w:space="5"/>
        </w:pBdr>
        <w:spacing w:after="0"/>
        <w:ind w:left="585"/>
        <w:jc w:val="left"/>
      </w:pPr>
      <w:r>
        <w:rPr>
          <w:rFonts w:ascii="Times New Roman" w:hAnsi="Times New Roman"/>
          <w:b w:val="false"/>
          <w:i w:val="false"/>
          <w:color w:val="000000"/>
          <w:sz w:val="22"/>
        </w:rP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9_103.dita#AFFARS_5309_topic_3" Type="http://schemas.openxmlformats.org/officeDocument/2006/relationships/hyperlink" Id="rId4"/>
    <Relationship TargetMode="External" Target="5309_105_1.dita#AFFARS_5309_topic_5" Type="http://schemas.openxmlformats.org/officeDocument/2006/relationships/hyperlink" Id="rId5"/>
    <Relationship TargetMode="External" Target="https://usaf.dps.mil/sites/AFCC/afcc/knowledge_center/affars_pgi_related_documents/contractor_responsibility_DandF_tailored_for_SMC.pdf" Type="http://schemas.openxmlformats.org/officeDocument/2006/relationships/hyperlink" Id="rId6"/>
    <Relationship TargetMode="External" Target="5309_105_2.dita#AFFARS_5309_topic_6" Type="http://schemas.openxmlformats.org/officeDocument/2006/relationships/hyperlink" Id="rId7"/>
    <Relationship TargetMode="External" Target="https://usaf.dps.mil/sites/AFCC/afcc/knowledge_center/affars_pgi_related_documents/contractor_responsibility_DandF_tailored_for_SMC.pdf" Type="http://schemas.openxmlformats.org/officeDocument/2006/relationships/hyperlink" Id="rId8"/>
    <Relationship TargetMode="External" Target="5309_105_2.dita#AFFARS_5309_topic_6" Type="http://schemas.openxmlformats.org/officeDocument/2006/relationships/hyperlink" Id="rId9"/>
    <Relationship TargetMode="External" Target="5309_105_1.dita#AFFARS_5309_topic_5" Type="http://schemas.openxmlformats.org/officeDocument/2006/relationships/hyperlink" Id="rId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