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**ID__AFFARS_mp_5309_190_topic_4__ID**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MP5309.190-3</w:t>
      </w:r>
      <w:r>
        <w:rPr>
          <w:rFonts w:ascii="Times New Roman" w:hAnsi="Times New Roman"/>
          <w:i w:val="false"/>
          <w:color w:val="000000"/>
          <w:sz w:val="36"/>
        </w:rPr>
        <w:t xml:space="preserve"> Process for Adding a Contractor or Subcontractor to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an SMC contracting officer obtains information or otherwise becomes aware that a contractor’s or subcontractor’s ability to successfully perform space program contracts is uncertain due to any of the conditions listed at </w:t>
      </w:r>
      <w:hyperlink r:id="rId4">
        <w:r>
          <w:rPr>
            <w:rStyle w:val="Hyperlink"/>
            <w:rFonts w:ascii="Times New Roman" w:hAnsi="Times New Roman"/>
            <w:b w:val="false"/>
            <w:i w:val="false"/>
            <w:color w:val="0000ff"/>
            <w:sz w:val="22"/>
            <w:u w:val="single"/>
          </w:rPr>
          <w:t>AFFARS 5309.103(b)(ii)</w:t>
        </w:r>
      </w:hyperlink>
      <w:r>
        <w:rPr>
          <w:rFonts w:ascii="Times New Roman" w:hAnsi="Times New Roman"/>
          <w:b w:val="false"/>
          <w:i w:val="false"/>
          <w:color w:val="000000"/>
          <w:sz w:val="22"/>
        </w:rPr>
        <w:t xml:space="preserve"> and determines, in coordination with the program manager, COCO, and applicable SMC 2-Letter Director, to recommend listing on the CRWL, the SMC contracting officer shall prepare a staff package that contains, at a minimum, the following contents-</w:t>
      </w:r>
    </w:p>
    <w:p>
      <w:pPr>
        <w:pBdr>
          <w:top w:space="5"/>
          <w:left w:space="5"/>
          <w:bottom w:space="5"/>
          <w:right w:space="5"/>
        </w:pBdr>
        <w:spacing w:after="0"/>
        <w:ind w:left="585"/>
        <w:jc w:val="left"/>
      </w:pPr>
      <w:r>
        <w:rPr>
          <w:rFonts w:ascii="Times New Roman" w:hAnsi="Times New Roman"/>
          <w:b w:val="false"/>
          <w:i w:val="false"/>
          <w:color w:val="000000"/>
          <w:sz w:val="22"/>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p>
    <w:p>
      <w:pPr>
        <w:pBdr>
          <w:top w:space="5"/>
          <w:left w:space="5"/>
          <w:bottom w:space="5"/>
          <w:right w:space="5"/>
        </w:pBdr>
        <w:spacing w:after="0"/>
        <w:ind w:left="585"/>
        <w:jc w:val="left"/>
      </w:pPr>
      <w:r>
        <w:rPr>
          <w:rFonts w:ascii="Times New Roman" w:hAnsi="Times New Roman"/>
          <w:b w:val="false"/>
          <w:i w:val="false"/>
          <w:color w:val="000000"/>
          <w:sz w:val="22"/>
        </w:rPr>
        <w:t>(2) A draft letter from SMC/CC to the contractor or subcontractor providing notification of the decision to place it on the CRWL and the reason for that decision; and</w:t>
      </w:r>
    </w:p>
    <w:p>
      <w:pPr>
        <w:pBdr>
          <w:top w:space="5"/>
          <w:left w:space="5"/>
          <w:bottom w:space="5"/>
          <w:right w:space="5"/>
        </w:pBdr>
        <w:spacing w:after="0"/>
        <w:ind w:left="585"/>
        <w:jc w:val="left"/>
      </w:pPr>
      <w:r>
        <w:rPr>
          <w:rFonts w:ascii="Times New Roman" w:hAnsi="Times New Roman"/>
          <w:b w:val="false"/>
          <w:i w:val="false"/>
          <w:color w:val="000000"/>
          <w:sz w:val="22"/>
        </w:rPr>
        <w:t>(3) Any other documentation supporting the recommendation for listing on the CRWL.</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coordinate the staff package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103.dita#AFFARS_5309_topic_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