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**ID__AFFARS_mp_5309_190_topic_5__ID**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MP5309.190-4</w:t>
      </w:r>
      <w:r>
        <w:rPr>
          <w:rFonts w:ascii="Times New Roman" w:hAnsi="Times New Roman"/>
          <w:i w:val="false"/>
          <w:color w:val="000000"/>
          <w:sz w:val="36"/>
        </w:rPr>
        <w:t xml:space="preserve"> Process for Removing a Contractor or Subcontractor from the CRWL</w:t>
      </w:r>
    </w:p>
    <w:p>
      <w:pPr>
        <w:pBdr>
          <w:top w:space="5"/>
          <w:left w:space="5"/>
          <w:bottom w:space="5"/>
          <w:right w:space="5"/>
        </w:pBdr>
        <w:spacing w:after="0"/>
        <w:ind w:left="225"/>
        <w:jc w:val="left"/>
      </w:pPr>
      <w:r>
        <w:rPr>
          <w:rFonts w:ascii="Times New Roman" w:hAnsi="Times New Roman"/>
          <w:b w:val="false"/>
          <w:i w:val="false"/>
          <w:color w:val="000000"/>
          <w:sz w:val="22"/>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Bdr>
          <w:top w:space="5"/>
          <w:left w:space="5"/>
          <w:bottom w:space="5"/>
          <w:right w:space="5"/>
        </w:pBdr>
        <w:spacing w:after="0"/>
        <w:ind w:left="585"/>
        <w:jc w:val="left"/>
      </w:pPr>
      <w:r>
        <w:rPr>
          <w:rFonts w:ascii="Times New Roman" w:hAnsi="Times New Roman"/>
          <w:b w:val="false"/>
          <w:i w:val="false"/>
          <w:color w:val="000000"/>
          <w:sz w:val="22"/>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p>
    <w:p>
      <w:pPr>
        <w:pBdr>
          <w:top w:space="5"/>
          <w:left w:space="5"/>
          <w:bottom w:space="5"/>
          <w:right w:space="5"/>
        </w:pBdr>
        <w:spacing w:after="0"/>
        <w:ind w:left="585"/>
        <w:jc w:val="left"/>
      </w:pPr>
      <w:r>
        <w:rPr>
          <w:rFonts w:ascii="Times New Roman" w:hAnsi="Times New Roman"/>
          <w:b w:val="false"/>
          <w:i w:val="false"/>
          <w:color w:val="000000"/>
          <w:sz w:val="22"/>
        </w:rPr>
        <w:t>(2) The contractor’s or subcontractor’s written request to be removed from the CRWL;</w:t>
      </w:r>
    </w:p>
    <w:p>
      <w:pPr>
        <w:pBdr>
          <w:top w:space="5"/>
          <w:left w:space="5"/>
          <w:bottom w:space="5"/>
          <w:right w:space="5"/>
        </w:pBdr>
        <w:spacing w:after="0"/>
        <w:ind w:left="585"/>
        <w:jc w:val="left"/>
      </w:pPr>
      <w:r>
        <w:rPr>
          <w:rFonts w:ascii="Times New Roman" w:hAnsi="Times New Roman"/>
          <w:b w:val="false"/>
          <w:i w:val="false"/>
          <w:color w:val="000000"/>
          <w:sz w:val="22"/>
        </w:rPr>
        <w:t>(3) A draft letter from SMC/CC to the contractor or subcontractor with notification of the decision; and,</w:t>
      </w:r>
    </w:p>
    <w:p>
      <w:pPr>
        <w:pBdr>
          <w:top w:space="5"/>
          <w:left w:space="5"/>
          <w:bottom w:space="5"/>
          <w:right w:space="5"/>
        </w:pBdr>
        <w:spacing w:after="0"/>
        <w:ind w:left="585"/>
        <w:jc w:val="left"/>
      </w:pPr>
      <w:r>
        <w:rPr>
          <w:rFonts w:ascii="Times New Roman" w:hAnsi="Times New Roman"/>
          <w:b w:val="false"/>
          <w:i w:val="false"/>
          <w:color w:val="000000"/>
          <w:sz w:val="22"/>
        </w:rPr>
        <w:t>(4) Any other documentation supporting the request and the recommended determination.</w:t>
      </w:r>
    </w:p>
    <w:p>
      <w:pPr>
        <w:pBdr>
          <w:top w:space="5"/>
          <w:left w:space="5"/>
          <w:bottom w:space="5"/>
          <w:right w:space="5"/>
        </w:pBdr>
        <w:spacing w:after="0"/>
        <w:ind w:left="225"/>
        <w:jc w:val="left"/>
      </w:pPr>
      <w:r>
        <w:rPr>
          <w:rFonts w:ascii="Times New Roman" w:hAnsi="Times New Roman"/>
          <w:b w:val="false"/>
          <w:i w:val="false"/>
          <w:color w:val="000000"/>
          <w:sz w:val="22"/>
        </w:rPr>
        <w:t>(b) The staff package shall be coordinated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