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**ID__AFFARS_MP_5315_3_1_2__ID**</w:t>
      </w:r>
    </w:p>
    <w:p>
      <w:pPr>
        <w:pStyle w:val="Heading4"/>
        <w:spacing w:after="269"/>
        <w:ind w:left="120"/>
        <w:jc w:val="left"/>
      </w:pPr>
      <w:r>
        <w:rPr>
          <w:rFonts w:ascii="Times New Roman" w:hAnsi="Times New Roman"/>
          <w:i w:val="false"/>
          <w:color w:val="000000"/>
          <w:sz w:val="31"/>
        </w:rPr>
        <w:t>1.2</w:t>
      </w:r>
      <w:r>
        <w:rPr>
          <w:rFonts w:ascii="Times New Roman" w:hAnsi="Times New Roman"/>
          <w:i w:val="false"/>
          <w:color w:val="000000"/>
          <w:sz w:val="31"/>
        </w:rPr>
        <w:t xml:space="preserve"> Applicability and Waivers</w:t>
      </w:r>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2) Past performance record and history will be assessed as one of the multiple standards required for a successful offeror to be determined responsible as described in</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1.2.4</w:t>
      </w:r>
      <w:r>
        <w:rPr>
          <w:rFonts w:ascii="Times New Roman" w:hAnsi="Times New Roman"/>
          <w:b w:val="false"/>
          <w:i w:val="false"/>
          <w:color w:val="000000"/>
          <w:sz w:val="22"/>
        </w:rPr>
        <w:t>Waivers.</w:t>
      </w:r>
      <w:r>
        <w:rPr>
          <w:rFonts w:ascii="Times New Roman" w:hAnsi="Times New Roman"/>
          <w:b w:val="false"/>
          <w:i w:val="false"/>
          <w:color w:val="000000"/>
          <w:sz w:val="22"/>
        </w:rPr>
        <w:t xml:space="preserve">Waivers for solicitations valued at $1B or more for approval by the Director, Defense Pricing and Contracting (DPC), must be forwarded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