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**ID__AFFARS_MP_5315_3_1_4__ID**</w:t>
      </w:r>
    </w:p>
    <w:p>
      <w:pPr>
        <w:pStyle w:val="Heading4"/>
        <w:spacing w:after="269"/>
        <w:ind w:left="120"/>
        <w:jc w:val="left"/>
      </w:pPr>
      <w:r>
        <w:rPr>
          <w:rFonts w:ascii="Times New Roman" w:hAnsi="Times New Roman"/>
          <w:i w:val="false"/>
          <w:color w:val="000000"/>
          <w:sz w:val="31"/>
        </w:rPr>
        <w:t>1.4</w:t>
      </w:r>
      <w:r>
        <w:rPr>
          <w:rFonts w:ascii="Times New Roman" w:hAnsi="Times New Roman"/>
          <w:i w:val="false"/>
          <w:color w:val="000000"/>
          <w:sz w:val="31"/>
        </w:rPr>
        <w:t xml:space="preserve"> Source Selection Team Roles and Responsibilities</w:t>
      </w:r>
    </w:p>
    <w:p>
      <w:pPr>
        <w:pBdr>
          <w:top w:space="5"/>
          <w:left w:space="5"/>
          <w:bottom w:space="5"/>
          <w:right w:space="5"/>
        </w:pBdr>
        <w:spacing w:after="0"/>
        <w:ind w:left="585"/>
        <w:jc w:val="left"/>
      </w:pPr>
      <w:r>
        <w:rPr>
          <w:rFonts w:ascii="Times New Roman" w:hAnsi="Times New Roman"/>
          <w:b w:val="false"/>
          <w:i w:val="false"/>
          <w:color w:val="000000"/>
          <w:sz w:val="22"/>
        </w:rPr>
        <w:t>1.4.1 Source Selection Authority (SSA).</w:t>
      </w:r>
    </w:p>
    <w:p>
      <w:pPr>
        <w:pBdr>
          <w:top w:space="5"/>
          <w:left w:space="5"/>
          <w:bottom w:space="5"/>
          <w:right w:space="5"/>
        </w:pBdr>
        <w:spacing w:after="0"/>
        <w:ind w:left="945"/>
        <w:jc w:val="left"/>
      </w:pPr>
      <w:r>
        <w:rPr>
          <w:rFonts w:ascii="Times New Roman" w:hAnsi="Times New Roman"/>
          <w:b w:val="false"/>
          <w:i w:val="false"/>
          <w:color w:val="000000"/>
          <w:sz w:val="22"/>
        </w:rPr>
        <w:t>1.4.1.1 SSA Appointment.</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3618"/>
        <w:gridCol w:w="3431"/>
        <w:gridCol w:w="3896"/>
        <w:gridCol w:w="2629"/>
      </w:tblGrid>
      <w:tr>
        <w:trPr>
          <w:trHeight w:val="810" w:hRule="atLeast"/>
        </w:trPr>
        <w:tc>
          <w:tcPr>
            <w:tcW w:w="36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SSA Designations</w:t>
            </w:r>
          </w:p>
        </w:tc>
        <w:tc>
          <w:tcPr>
            <w:tcW w:w="34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38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$10M to less than $100M</w:t>
            </w:r>
            <w:r>
              <w:rPr>
                <w:rFonts w:ascii="Times New Roman" w:hAnsi="Times New Roman"/>
                <w:b w:val="false"/>
                <w:i w:val="false"/>
                <w:color w:val="000000"/>
                <w:sz w:val="22"/>
              </w:rPr>
              <w:t xml:space="preserve"> </w:t>
            </w:r>
            <w:r>
              <w:rPr>
                <w:rFonts w:ascii="Times New Roman" w:hAnsi="Times New Roman"/>
                <w:b w:val="false"/>
                <w:i w:val="false"/>
                <w:color w:val="000000"/>
                <w:sz w:val="22"/>
              </w:rPr>
              <w:t>(Note 1)</w:t>
            </w:r>
          </w:p>
        </w:tc>
        <w:tc>
          <w:tcPr>
            <w:tcW w:w="26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$100M and above</w:t>
            </w:r>
            <w:r>
              <w:rPr>
                <w:rFonts w:ascii="Times New Roman" w:hAnsi="Times New Roman"/>
                <w:b w:val="false"/>
                <w:i w:val="false"/>
                <w:color w:val="000000"/>
                <w:sz w:val="22"/>
              </w:rPr>
              <w:t xml:space="preserve"> (Note 2)</w:t>
            </w:r>
          </w:p>
        </w:tc>
      </w:tr>
      <w:tr>
        <w:trPr>
          <w:trHeight w:val="795" w:hRule="atLeast"/>
        </w:trPr>
        <w:tc>
          <w:tcPr>
            <w:tcW w:w="36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Program Acquisition Category (ACAT) I, IA</w:t>
            </w:r>
          </w:p>
        </w:tc>
        <w:tc>
          <w:tcPr>
            <w:tcW w:w="34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38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SAF/AQ (Note 3)</w:t>
            </w:r>
          </w:p>
        </w:tc>
        <w:tc>
          <w:tcPr>
            <w:tcW w:w="26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SAF/AQ (Note 3)</w:t>
            </w:r>
          </w:p>
        </w:tc>
      </w:tr>
      <w:tr>
        <w:trPr>
          <w:trHeight w:val="795" w:hRule="atLeast"/>
        </w:trPr>
        <w:tc>
          <w:tcPr>
            <w:tcW w:w="36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ACAT II and III</w:t>
            </w:r>
          </w:p>
        </w:tc>
        <w:tc>
          <w:tcPr>
            <w:tcW w:w="34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38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Program Executive Officer (PEO)</w:t>
            </w:r>
          </w:p>
        </w:tc>
        <w:tc>
          <w:tcPr>
            <w:tcW w:w="26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w:t>
            </w:r>
          </w:p>
        </w:tc>
      </w:tr>
      <w:tr>
        <w:trPr>
          <w:trHeight w:val="1335" w:hRule="atLeast"/>
        </w:trPr>
        <w:tc>
          <w:tcPr>
            <w:tcW w:w="36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Operational &amp; Enterprise (including services EXEMPT from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63-138</w:t>
              </w:r>
            </w:hyperlink>
            <w:r>
              <w:rPr>
                <w:rFonts w:ascii="Times New Roman" w:hAnsi="Times New Roman"/>
                <w:b w:val="false"/>
                <w:i w:val="false"/>
                <w:color w:val="000000"/>
                <w:sz w:val="22"/>
              </w:rPr>
              <w:t>)</w:t>
            </w:r>
          </w:p>
        </w:tc>
        <w:tc>
          <w:tcPr>
            <w:tcW w:w="343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tc>
        <w:tc>
          <w:tcPr>
            <w:tcW w:w="389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(Note 4)</w:t>
            </w:r>
          </w:p>
        </w:tc>
        <w:tc>
          <w:tcPr>
            <w:tcW w:w="26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(Note 4)</w:t>
            </w:r>
          </w:p>
        </w:tc>
      </w:tr>
      <w:tr>
        <w:trPr>
          <w:trHeight w:val="1335" w:hRule="atLeast"/>
        </w:trPr>
        <w:tc>
          <w:tcPr>
            <w:tcW w:w="36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Operational &amp; Enterprise Services Acquisitions subject to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63-138</w:t>
              </w:r>
            </w:hyperlink>
          </w:p>
        </w:tc>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SSA is the Services Designated Official (SDO) as designated in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63-138</w:t>
              </w:r>
            </w:hyperlink>
            <w:r>
              <w:rPr>
                <w:rFonts w:ascii="Times New Roman" w:hAnsi="Times New Roman"/>
                <w:b w:val="false"/>
                <w:i w:val="false"/>
                <w:color w:val="000000"/>
                <w:sz w:val="22"/>
                <w:u w:val="single"/>
              </w:rPr>
              <w:t>, Table 2.1, the Services Management Agreement (SMA), if applicable, and the SDO delegation letter.</w:t>
            </w:r>
          </w:p>
        </w:tc>
      </w:tr>
      <w:tr>
        <w:trPr>
          <w:trHeight w:val="4095" w:hRule="atLeast"/>
        </w:trPr>
        <w:tc>
          <w:tcPr>
            <w:tcW w:w="0" w:type="auto"/>
            <w:gridSpan w:val="4"/>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NOTES</w:t>
            </w:r>
            <w:r>
              <w:rPr>
                <w:rFonts w:ascii="Times New Roman" w:hAnsi="Times New Roman"/>
                <w:b/>
                <w:i w:val="false"/>
                <w:color w:val="000000"/>
                <w:sz w:val="22"/>
              </w:rPr>
              <w:t>:</w:t>
            </w:r>
          </w:p>
          <w:p>
            <w:pPr>
              <w:pBdr>
                <w:top w:space="5"/>
                <w:left w:space="5"/>
                <w:bottom w:space="5"/>
                <w:right w:space="5"/>
              </w:pBdr>
              <w:spacing w:after="0"/>
              <w:ind w:left="240"/>
              <w:jc w:val="left"/>
            </w:pPr>
            <w:r>
              <w:rPr>
                <w:rFonts w:ascii="Times New Roman" w:hAnsi="Times New Roman"/>
                <w:b/>
                <w:i w:val="false"/>
                <w:color w:val="000000"/>
                <w:sz w:val="22"/>
              </w:rPr>
              <w:t>1.</w:t>
            </w:r>
            <w:r>
              <w:rPr>
                <w:rFonts w:ascii="Times New Roman" w:hAnsi="Times New Roman"/>
                <w:b w:val="false"/>
                <w:i w:val="false"/>
                <w:color w:val="000000"/>
                <w:sz w:val="22"/>
              </w:rPr>
              <w:t xml:space="preserve"> Delegable to no lower than the Procuring Contracting Officer (PCO)/equivalent or higher position within the PEO/ requiring organization chain.</w:t>
            </w:r>
          </w:p>
          <w:p>
            <w:pPr>
              <w:pBdr>
                <w:top w:space="5"/>
                <w:left w:space="5"/>
                <w:bottom w:space="5"/>
                <w:right w:space="5"/>
              </w:pBdr>
              <w:spacing w:after="0"/>
              <w:ind w:left="240"/>
              <w:jc w:val="left"/>
            </w:pPr>
            <w:r>
              <w:rPr>
                <w:rFonts w:ascii="Times New Roman" w:hAnsi="Times New Roman"/>
                <w:b/>
                <w:i w:val="false"/>
                <w:color w:val="000000"/>
                <w:sz w:val="22"/>
              </w:rPr>
              <w:t>2.</w:t>
            </w:r>
            <w:r>
              <w:rPr>
                <w:rFonts w:ascii="Times New Roman" w:hAnsi="Times New Roman"/>
                <w:b w:val="false"/>
                <w:i w:val="false"/>
                <w:color w:val="000000"/>
                <w:sz w:val="22"/>
              </w:rPr>
              <w:t xml:space="preserve"> Appointments in this column represent the written appointment of the SSA by the Agency Head. Delegable to no lower than one level above the PCO or equivalent or higher position within the PEO/ requiring organization chain.</w:t>
            </w:r>
          </w:p>
          <w:p>
            <w:pPr>
              <w:pBdr>
                <w:top w:space="5"/>
                <w:left w:space="5"/>
                <w:bottom w:space="5"/>
                <w:right w:space="5"/>
              </w:pBdr>
              <w:spacing w:after="0"/>
              <w:ind w:left="240"/>
              <w:jc w:val="left"/>
            </w:pPr>
            <w:r>
              <w:rPr>
                <w:rFonts w:ascii="Times New Roman" w:hAnsi="Times New Roman"/>
                <w:b/>
                <w:i w:val="false"/>
                <w:color w:val="000000"/>
                <w:sz w:val="22"/>
              </w:rPr>
              <w:t>3.</w:t>
            </w:r>
            <w:r>
              <w:rPr>
                <w:rFonts w:ascii="Times New Roman" w:hAnsi="Times New Roman"/>
                <w:b w:val="false"/>
                <w:i w:val="false"/>
                <w:color w:val="000000"/>
                <w:sz w:val="22"/>
              </w:rPr>
              <w:t xml:space="preserve"> “SAF/AQ” includes the ASAF(A) and the Principal and Military Deputy.</w:t>
            </w:r>
          </w:p>
          <w:p>
            <w:pPr>
              <w:pBdr>
                <w:top w:space="5"/>
                <w:left w:space="5"/>
                <w:bottom w:space="5"/>
                <w:right w:space="5"/>
              </w:pBdr>
              <w:spacing w:after="0"/>
              <w:ind w:left="240"/>
              <w:jc w:val="left"/>
            </w:pPr>
            <w:r>
              <w:rPr>
                <w:rFonts w:ascii="Times New Roman" w:hAnsi="Times New Roman"/>
                <w:b/>
                <w:i w:val="false"/>
                <w:color w:val="000000"/>
                <w:sz w:val="22"/>
              </w:rPr>
              <w:t>4.</w:t>
            </w:r>
            <w:r>
              <w:rPr>
                <w:rFonts w:ascii="Times New Roman" w:hAnsi="Times New Roman"/>
                <w:b w:val="false"/>
                <w:i w:val="false"/>
                <w:color w:val="000000"/>
                <w:sz w:val="22"/>
              </w:rPr>
              <w:t xml:space="preserve"> The SSA is the Center Commander/Wing Commander/PEO or MAJCOM/DRU/AFRCO director-level individual who is responsible for the requirement unless delegated in accordance with Note 1 for acquisitions $10M to less than $100M or Note 2 for acquisitions $100M and above.A tailorable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Delegation of Source Selection Authority</w:t>
              </w:r>
            </w:hyperlink>
            <w:r>
              <w:rPr>
                <w:rFonts w:ascii="Times New Roman" w:hAnsi="Times New Roman"/>
                <w:b w:val="false"/>
                <w:i w:val="false"/>
                <w:color w:val="000000"/>
                <w:sz w:val="22"/>
              </w:rPr>
              <w:t xml:space="preserve"> (SSA) template is available for use, as desired.</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8">
        <w:r>
          <w:rPr>
            <w:rStyle w:val="Hyperlink"/>
            <w:rFonts w:ascii="Times New Roman" w:hAnsi="Times New Roman"/>
            <w:b w:val="false"/>
            <w:i w:val="false"/>
            <w:color w:val="0000ff"/>
            <w:sz w:val="22"/>
            <w:u w:val="single"/>
          </w:rPr>
          <w:t>AFMC PGI 5315.3 (1.4.1.1)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9">
        <w:r>
          <w:rPr>
            <w:rStyle w:val="Hyperlink"/>
            <w:rFonts w:ascii="Times New Roman" w:hAnsi="Times New Roman"/>
            <w:b w:val="false"/>
            <w:i w:val="false"/>
            <w:color w:val="0000ff"/>
            <w:sz w:val="22"/>
            <w:u w:val="single"/>
          </w:rPr>
          <w:t>SMC PGI 5315.3 (1.4.1.1)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10">
        <w:r>
          <w:rPr>
            <w:rStyle w:val="Hyperlink"/>
            <w:rFonts w:ascii="Times New Roman" w:hAnsi="Times New Roman"/>
            <w:b w:val="false"/>
            <w:i w:val="false"/>
            <w:color w:val="0000ff"/>
            <w:sz w:val="22"/>
            <w:u w:val="single"/>
          </w:rPr>
          <w:t>USAFA 5315.3 (1.4.1.1)</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1.4.1.2 SSA Responsibilities. In addition to the responsibilities listed in FAR 15.303(b), DFARS 215.303(b)(2), and the DoD Source Selection Procedures, the SSA shall:</w:t>
      </w:r>
    </w:p>
    <w:p>
      <w:pPr>
        <w:pBdr>
          <w:top w:space="5"/>
          <w:left w:space="5"/>
          <w:bottom w:space="5"/>
          <w:right w:space="5"/>
        </w:pBdr>
        <w:spacing w:after="0"/>
        <w:ind w:left="1305"/>
        <w:jc w:val="left"/>
      </w:pPr>
      <w:r>
        <w:rPr>
          <w:rFonts w:ascii="Times New Roman" w:hAnsi="Times New Roman"/>
          <w:b w:val="false"/>
          <w:i w:val="false"/>
          <w:color w:val="000000"/>
          <w:sz w:val="22"/>
        </w:rPr>
        <w:t>1.4.1.2.3 Be accessible to the PCO, SSEB Chairperson and SSAC Chairperson (if applicable) to ensure that necessary leadership and guidance is provided to the SST. Promote active communication within the SST and encourage the team to raise concerns/issues.</w:t>
      </w:r>
    </w:p>
    <w:p>
      <w:pPr>
        <w:pBdr>
          <w:top w:space="5"/>
          <w:left w:space="5"/>
          <w:bottom w:space="5"/>
          <w:right w:space="5"/>
        </w:pBdr>
        <w:spacing w:after="0"/>
        <w:ind w:left="1305"/>
        <w:jc w:val="left"/>
      </w:pPr>
      <w:r>
        <w:rPr>
          <w:rFonts w:ascii="Times New Roman" w:hAnsi="Times New Roman"/>
          <w:b w:val="false"/>
          <w:i w:val="false"/>
          <w:color w:val="000000"/>
          <w:sz w:val="22"/>
        </w:rPr>
        <w:t>1.4.1.2.6 See the following tailorable templates:</w:t>
      </w:r>
    </w:p>
    <w:p>
      <w:pPr>
        <w:pBdr>
          <w:top w:space="5"/>
          <w:left w:space="5"/>
          <w:bottom w:space="5"/>
          <w:right w:space="5"/>
        </w:pBdr>
        <w:spacing w:after="0"/>
        <w:ind w:left="1665"/>
        <w:jc w:val="left"/>
      </w:pPr>
      <w:r>
        <w:rPr>
          <w:rFonts w:ascii="Times New Roman" w:hAnsi="Times New Roman"/>
          <w:b w:val="false"/>
          <w:i w:val="false"/>
          <w:color w:val="000000"/>
          <w:sz w:val="22"/>
        </w:rPr>
        <w:t xml:space="preserve">1.4.1.2.6.1 </w:t>
      </w:r>
      <w:hyperlink r:id="rId11">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Source Selection Non-Disclosure Agreement (NDA)</w:t>
        </w:r>
      </w:hyperlink>
      <w:r>
        <w:rPr>
          <w:rFonts w:ascii="Times New Roman" w:hAnsi="Times New Roman"/>
          <w:b w:val="false"/>
          <w:i/>
          <w:color w:val="000000"/>
          <w:sz w:val="22"/>
          <w:u w:val="single"/>
        </w:rPr>
        <w:t>.</w:t>
      </w:r>
      <w:r>
        <w:rPr>
          <w:rFonts w:ascii="Times New Roman" w:hAnsi="Times New Roman"/>
          <w:b w:val="false"/>
          <w:i w:val="false"/>
          <w:color w:val="000000"/>
          <w:sz w:val="22"/>
        </w:rPr>
        <w:t xml:space="preserve">An NDA may be executed on an annual basis in accordance with </w:t>
      </w:r>
      <w:hyperlink r:id="rId12">
        <w:r>
          <w:rPr>
            <w:rStyle w:val="Hyperlink"/>
            <w:rFonts w:ascii="Times New Roman" w:hAnsi="Times New Roman"/>
            <w:b w:val="false"/>
            <w:i w:val="false"/>
            <w:color w:val="0000ff"/>
            <w:sz w:val="22"/>
            <w:u w:val="single"/>
          </w:rPr>
          <w:t>AFFARS 5303.104-4(a)</w:t>
        </w:r>
      </w:hyperlink>
      <w:r>
        <w:rPr>
          <w:rFonts w:ascii="Times New Roman" w:hAnsi="Times New Roman"/>
          <w:b w:val="false"/>
          <w:i w:val="false"/>
          <w:color w:val="000000"/>
          <w:sz w:val="22"/>
        </w:rPr>
        <w:t xml:space="preserve"> .</w:t>
      </w:r>
    </w:p>
    <w:p>
      <w:pPr>
        <w:pBdr>
          <w:top w:space="5"/>
          <w:left w:space="5"/>
          <w:bottom w:space="5"/>
          <w:right w:space="5"/>
        </w:pBdr>
        <w:spacing w:after="0"/>
        <w:ind w:left="1665"/>
        <w:jc w:val="left"/>
      </w:pPr>
      <w:r>
        <w:rPr>
          <w:rFonts w:ascii="Times New Roman" w:hAnsi="Times New Roman"/>
          <w:b w:val="false"/>
          <w:i w:val="false"/>
          <w:color w:val="000000"/>
          <w:sz w:val="22"/>
        </w:rPr>
        <w:t xml:space="preserve">1.4.1.2.6.2 </w:t>
      </w:r>
      <w:hyperlink r:id="rId13">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Conflict of Interest Statement</w:t>
        </w:r>
      </w:hyperlink>
      <w:r>
        <w:rPr>
          <w:rFonts w:ascii="Times New Roman" w:hAnsi="Times New Roman"/>
          <w:b w:val="false"/>
          <w:i w:val="false"/>
          <w:color w:val="000000"/>
          <w:sz w:val="22"/>
          <w:u w:val="single"/>
        </w:rPr>
        <w:t>.</w:t>
      </w:r>
    </w:p>
    <w:p>
      <w:pPr>
        <w:pBdr>
          <w:top w:space="5"/>
          <w:left w:space="5"/>
          <w:bottom w:space="5"/>
          <w:right w:space="5"/>
        </w:pBdr>
        <w:spacing w:after="0"/>
        <w:ind w:left="585"/>
        <w:jc w:val="left"/>
      </w:pPr>
      <w:r>
        <w:rPr>
          <w:rFonts w:ascii="Times New Roman" w:hAnsi="Times New Roman"/>
          <w:b w:val="false"/>
          <w:i w:val="false"/>
          <w:color w:val="000000"/>
          <w:sz w:val="22"/>
        </w:rPr>
        <w:t>1.4.2 PCO.</w:t>
      </w:r>
    </w:p>
    <w:p>
      <w:pPr>
        <w:pBdr>
          <w:top w:space="5"/>
          <w:left w:space="5"/>
          <w:bottom w:space="5"/>
          <w:right w:space="5"/>
        </w:pBdr>
        <w:spacing w:after="0"/>
        <w:ind w:left="945"/>
        <w:jc w:val="left"/>
      </w:pPr>
      <w:r>
        <w:rPr>
          <w:rFonts w:ascii="Times New Roman" w:hAnsi="Times New Roman"/>
          <w:b w:val="false"/>
          <w:i w:val="false"/>
          <w:color w:val="000000"/>
          <w:sz w:val="22"/>
        </w:rPr>
        <w:t xml:space="preserve">1.4.2.2 PCO Responsibilities. In addition to the responsibilities listed in </w:t>
      </w:r>
      <w:r>
        <w:rPr>
          <w:rFonts w:ascii="Times New Roman" w:hAnsi="Times New Roman"/>
          <w:b w:val="false"/>
          <w:i w:val="false"/>
          <w:color w:val="000000"/>
          <w:sz w:val="22"/>
          <w:u w:val="single"/>
        </w:rPr>
        <w:t>FAR 15.303(c)</w:t>
      </w:r>
      <w:r>
        <w:rPr>
          <w:rFonts w:ascii="Times New Roman" w:hAnsi="Times New Roman"/>
          <w:b w:val="false"/>
          <w:i w:val="false"/>
          <w:color w:val="000000"/>
          <w:sz w:val="22"/>
        </w:rPr>
        <w:t xml:space="preserve"> and the </w:t>
      </w:r>
      <w:hyperlink r:id="rId1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Source Selection Procedures</w:t>
        </w:r>
      </w:hyperlink>
      <w:r>
        <w:rPr>
          <w:rFonts w:ascii="Times New Roman" w:hAnsi="Times New Roman"/>
          <w:b w:val="false"/>
          <w:i w:val="false"/>
          <w:color w:val="000000"/>
          <w:sz w:val="22"/>
        </w:rPr>
        <w:t>, the PCO shall:</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15">
        <w:r>
          <w:rPr>
            <w:rStyle w:val="Hyperlink"/>
            <w:rFonts w:ascii="Times New Roman" w:hAnsi="Times New Roman"/>
            <w:b w:val="false"/>
            <w:i w:val="false"/>
            <w:color w:val="0000ff"/>
            <w:sz w:val="22"/>
            <w:u w:val="single"/>
          </w:rPr>
          <w:t>SMC PGI 5315.3 (1.4.2.2)</w:t>
        </w:r>
      </w:hyperlink>
      <w:r>
        <w:rPr>
          <w:rFonts w:ascii="Times New Roman" w:hAnsi="Times New Roman"/>
          <w:b w:val="false"/>
          <w:i w:val="false"/>
          <w:color w:val="000000"/>
          <w:sz w:val="22"/>
        </w:rPr>
        <w:t xml:space="preserve"> .</w:t>
      </w:r>
    </w:p>
    <w:p>
      <w:pPr>
        <w:pBdr>
          <w:top w:space="5"/>
          <w:left w:space="5"/>
          <w:bottom w:space="5"/>
          <w:right w:space="5"/>
        </w:pBdr>
        <w:spacing w:after="0"/>
        <w:ind w:left="1305"/>
        <w:jc w:val="left"/>
      </w:pPr>
      <w:r>
        <w:rPr>
          <w:rFonts w:ascii="Times New Roman" w:hAnsi="Times New Roman"/>
          <w:b w:val="false"/>
          <w:i w:val="false"/>
          <w:color w:val="000000"/>
          <w:sz w:val="22"/>
        </w:rPr>
        <w:t xml:space="preserve">1.4.2.2.2 Consider sample RFP Section L language for </w:t>
      </w:r>
      <w:hyperlink r:id="rId1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Use of Non-Government Advisors</w:t>
        </w:r>
      </w:hyperlink>
      <w:r>
        <w:rPr>
          <w:rFonts w:ascii="Times New Roman" w:hAnsi="Times New Roman"/>
          <w:b w:val="false"/>
          <w:i w:val="false"/>
          <w:color w:val="000000"/>
          <w:sz w:val="22"/>
          <w:u w:val="single"/>
        </w:rPr>
        <w:t>, when applicable</w:t>
      </w:r>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val="false"/>
          <w:color w:val="000000"/>
          <w:sz w:val="22"/>
        </w:rPr>
        <w:t xml:space="preserve">1.4.2.2.3 Manage all source selection documents, control and record all exchanges with offerors, and protect all documents (see </w:t>
      </w:r>
      <w:r>
        <w:rPr>
          <w:rFonts w:ascii="Times New Roman" w:hAnsi="Times New Roman"/>
          <w:b w:val="false"/>
          <w:i w:val="false"/>
          <w:color w:val="000000"/>
          <w:sz w:val="22"/>
          <w:u w:val="single"/>
        </w:rPr>
        <w:t>Section 4</w:t>
      </w:r>
      <w:r>
        <w:rPr>
          <w:rFonts w:ascii="Times New Roman" w:hAnsi="Times New Roman"/>
          <w:b w:val="false"/>
          <w:i w:val="false"/>
          <w:color w:val="000000"/>
          <w:sz w:val="22"/>
        </w:rPr>
        <w:t xml:space="preserve"> ). Consider identifying a Source Selection Records Custodian (SSRC) familiar with the contracting process to manage all source selection documents (PCO or someone under PCO oversight). Ensure source selection material is not removed, circulated, or disseminated outside of the source selection work area without PCO review and approval. Ensure all means of electronic communications receive additional scrutiny to preclude inadvertent release of documents that contain sensitive or embedded source selection files. It is a good practice that prior to transmission of Source Selection Information to offerors via any means, the information is reviewed by a second person to preclude inadvertent inclusion of inappropriate data. Additionally, Source Selection Information transmitted to offerors electronically (e.g., via email or disc) or posted to a website must be distributed in a “locked” format, such as scanned .pdf file, .jpeg file, or other protected format, unless offerors are required to fill-in or complete portions of a document, such as Section K Representations and Certifications, or a pricing matrix. Using e-mail to transmit source selection information should be done judiciously and it must be encrypted and digitally signed. Include in the subject line the phrase “Source Selection Information – See FAR 2.101 and 3.104”. Use the </w:t>
      </w:r>
      <w:hyperlink r:id="rId17">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Source Selection Information Cover Sheet</w:t>
        </w:r>
      </w:hyperlink>
      <w:r>
        <w:rPr>
          <w:rFonts w:ascii="Times New Roman" w:hAnsi="Times New Roman"/>
          <w:b w:val="false"/>
          <w:i w:val="false"/>
          <w:color w:val="000000"/>
          <w:sz w:val="22"/>
        </w:rPr>
        <w:t xml:space="preserve"> to identify source selection information. For RFPs released after 30 November 2020, use the </w:t>
      </w:r>
      <w:hyperlink r:id="rId18">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SF 901 Controlled Unclassified Information (CUI) Cover Sheet (AF</w:t>
        </w:r>
        <w:r>
          <w:rPr>
            <w:rFonts w:ascii="Times New Roman" w:hAnsi="Times New Roman"/>
            <w:b w:val="false"/>
            <w:i/>
            <w:color w:val="0000ff"/>
            <w:sz w:val="22"/>
            <w:u w:val="single"/>
          </w:rPr>
          <w:t>Template)</w:t>
        </w:r>
      </w:hyperlink>
      <w:r>
        <w:rPr>
          <w:rFonts w:ascii="Times New Roman" w:hAnsi="Times New Roman"/>
          <w:b w:val="false"/>
          <w:i w:val="false"/>
          <w:color w:val="000000"/>
          <w:sz w:val="22"/>
        </w:rPr>
        <w:t xml:space="preserve">. A sample </w:t>
      </w:r>
      <w:hyperlink r:id="rId19">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Verification of Correspondence Going to Offeror checklist</w:t>
        </w:r>
      </w:hyperlink>
      <w:r>
        <w:rPr>
          <w:rFonts w:ascii="Times New Roman" w:hAnsi="Times New Roman"/>
          <w:b w:val="false"/>
          <w:i w:val="false"/>
          <w:color w:val="000000"/>
          <w:sz w:val="22"/>
        </w:rPr>
        <w:t xml:space="preserve"> may be utilized, as desired.</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20">
        <w:r>
          <w:rPr>
            <w:rStyle w:val="Hyperlink"/>
            <w:rFonts w:ascii="Times New Roman" w:hAnsi="Times New Roman"/>
            <w:b w:val="false"/>
            <w:i w:val="false"/>
            <w:color w:val="0000ff"/>
            <w:sz w:val="22"/>
            <w:u w:val="single"/>
          </w:rPr>
          <w:t>AFMC PGI 5315.3 (1.4.2.2.3)</w:t>
        </w:r>
      </w:hyperlink>
      <w:r>
        <w:rPr>
          <w:rFonts w:ascii="Times New Roman" w:hAnsi="Times New Roman"/>
          <w:b w:val="false"/>
          <w:i w:val="false"/>
          <w:color w:val="000000"/>
          <w:sz w:val="22"/>
        </w:rPr>
        <w:t xml:space="preserve"> .</w:t>
      </w:r>
    </w:p>
    <w:p>
      <w:pPr>
        <w:pBdr>
          <w:top w:space="5"/>
          <w:left w:space="5"/>
          <w:bottom w:space="5"/>
          <w:right w:space="5"/>
        </w:pBdr>
        <w:spacing w:after="0"/>
        <w:ind w:left="1305"/>
        <w:jc w:val="left"/>
      </w:pPr>
      <w:r>
        <w:rPr>
          <w:rFonts w:ascii="Times New Roman" w:hAnsi="Times New Roman"/>
          <w:b w:val="false"/>
          <w:i w:val="false"/>
          <w:color w:val="000000"/>
          <w:sz w:val="22"/>
        </w:rPr>
        <w:t>1.4.2.2.4 Maintain in the official contract file (whether in hard copy or electronic media) all evaluation material and any related supporting information, including minority and dissenting opinions, that has been presented in any form to the SSA as an official record that must not be altered. Updates, revisions, or changes to that evaluation information must be captured in subsequent documentation such that the original record remains distinct.</w:t>
      </w:r>
    </w:p>
    <w:p>
      <w:pPr>
        <w:pBdr>
          <w:top w:space="5"/>
          <w:left w:space="5"/>
          <w:bottom w:space="5"/>
          <w:right w:space="5"/>
        </w:pBdr>
        <w:spacing w:after="0"/>
        <w:ind w:left="1665"/>
        <w:jc w:val="left"/>
      </w:pPr>
      <w:r>
        <w:rPr>
          <w:rFonts w:ascii="Times New Roman" w:hAnsi="Times New Roman"/>
          <w:b w:val="false"/>
          <w:i w:val="false"/>
          <w:color w:val="000000"/>
          <w:sz w:val="22"/>
        </w:rPr>
        <w:t>1.4.2.2.4.1 Working papers, calculations, and personal notes must be clearly identified as such and are not normally part of the official source selection record unless they include information relevant to the source selection decision and the information has not been captured in the official record. Solicit the advice of legal counsel and representatives from the Acquisition Center of Excellence (ACE) (if used) regarding the management and/or retention determination of any paper or digital document generated during the source selection. Legal counsel, the SSEB Chair, SSRC (if other than the PCO) and the PCO must review any notes, working papers, and other documents for a retention determination at regular intervals during the source selection process and upon completion.</w:t>
      </w:r>
    </w:p>
    <w:p>
      <w:pPr>
        <w:pBdr>
          <w:top w:space="5"/>
          <w:left w:space="5"/>
          <w:bottom w:space="5"/>
          <w:right w:space="5"/>
        </w:pBdr>
        <w:spacing w:after="0"/>
        <w:ind w:left="1665"/>
        <w:jc w:val="left"/>
      </w:pPr>
      <w:r>
        <w:rPr>
          <w:rFonts w:ascii="Times New Roman" w:hAnsi="Times New Roman"/>
          <w:b w:val="false"/>
          <w:i w:val="false"/>
          <w:color w:val="000000"/>
          <w:sz w:val="22"/>
        </w:rPr>
        <w:t xml:space="preserve">1.4.2.2.4.2 Preserve documents and data that are not stored within the electronic official contract filing system (e.g., classified documents, product samples, electronic media) as part of the official record and identify their physical location. A sample </w:t>
      </w:r>
      <w:hyperlink r:id="rId2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Source Selection File Checklist</w:t>
        </w:r>
      </w:hyperlink>
      <w:r>
        <w:rPr>
          <w:rFonts w:ascii="Times New Roman" w:hAnsi="Times New Roman"/>
          <w:b w:val="false"/>
          <w:i w:val="false"/>
          <w:color w:val="000000"/>
          <w:sz w:val="22"/>
        </w:rPr>
        <w:t xml:space="preserve"> may be tailored for use, as desired.</w:t>
      </w:r>
    </w:p>
    <w:p>
      <w:pPr>
        <w:pBdr>
          <w:top w:space="5"/>
          <w:left w:space="5"/>
          <w:bottom w:space="5"/>
          <w:right w:space="5"/>
        </w:pBdr>
        <w:spacing w:after="0"/>
        <w:ind w:left="1665"/>
        <w:jc w:val="left"/>
      </w:pPr>
      <w:r>
        <w:rPr>
          <w:rFonts w:ascii="Times New Roman" w:hAnsi="Times New Roman"/>
          <w:b w:val="false"/>
          <w:i w:val="false"/>
          <w:color w:val="000000"/>
          <w:sz w:val="22"/>
        </w:rPr>
        <w:t>1.4.2.2.4.3 Ensure that any requests for source selection delegations are properly accomplished and documented in the source selection file.</w:t>
      </w:r>
    </w:p>
    <w:p>
      <w:pPr>
        <w:pBdr>
          <w:top w:space="5"/>
          <w:left w:space="5"/>
          <w:bottom w:space="5"/>
          <w:right w:space="5"/>
        </w:pBdr>
        <w:spacing w:after="0"/>
        <w:ind w:left="1665"/>
        <w:jc w:val="left"/>
      </w:pPr>
      <w:r>
        <w:rPr>
          <w:rFonts w:ascii="Times New Roman" w:hAnsi="Times New Roman"/>
          <w:b w:val="false"/>
          <w:i w:val="false"/>
          <w:color w:val="000000"/>
          <w:sz w:val="22"/>
        </w:rPr>
        <w:t xml:space="preserve">1.4.2.2.7 Send a notice to all appropriate organizations (e.g., user or requirements personnel, public affairs offices, etc., that could be contacted by offerors or media outlets concerning the requirement or acquisition) concurrent with issuance of the solicitation announcing that a source selection is in progress. For acquisitions estimated at $100M or more, send the notice to </w:t>
      </w:r>
      <w:hyperlink r:id="rId2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HAF-level notification. The notice shall:</w:t>
      </w:r>
    </w:p>
    <w:p>
      <w:pPr>
        <w:pBdr>
          <w:top w:space="5"/>
          <w:left w:space="5"/>
          <w:bottom w:space="5"/>
          <w:right w:space="5"/>
        </w:pBdr>
        <w:spacing w:after="0"/>
        <w:ind w:left="225"/>
        <w:jc w:val="left"/>
      </w:pPr>
      <w:r>
        <w:rPr>
          <w:rFonts w:ascii="Times New Roman" w:hAnsi="Times New Roman"/>
          <w:b w:val="false"/>
          <w:i w:val="false"/>
          <w:color w:val="000000"/>
          <w:sz w:val="22"/>
        </w:rPr>
        <w:t>1) identify the system, subsystem, service, or project involved;</w:t>
      </w:r>
    </w:p>
    <w:p>
      <w:pPr>
        <w:pBdr>
          <w:top w:space="5"/>
          <w:left w:space="5"/>
          <w:bottom w:space="5"/>
          <w:right w:space="5"/>
        </w:pBdr>
        <w:spacing w:after="0"/>
        <w:ind w:left="225"/>
        <w:jc w:val="left"/>
      </w:pPr>
      <w:r>
        <w:rPr>
          <w:rFonts w:ascii="Times New Roman" w:hAnsi="Times New Roman"/>
          <w:b w:val="false"/>
          <w:i w:val="false"/>
          <w:color w:val="000000"/>
          <w:sz w:val="22"/>
        </w:rPr>
        <w:t>2) identify the anticipated period of the source selection activities;</w:t>
      </w:r>
    </w:p>
    <w:p>
      <w:pPr>
        <w:pBdr>
          <w:top w:space="5"/>
          <w:left w:space="5"/>
          <w:bottom w:space="5"/>
          <w:right w:space="5"/>
        </w:pBdr>
        <w:spacing w:after="0"/>
        <w:ind w:left="225"/>
        <w:jc w:val="left"/>
      </w:pPr>
      <w:r>
        <w:rPr>
          <w:rFonts w:ascii="Times New Roman" w:hAnsi="Times New Roman"/>
          <w:b w:val="false"/>
          <w:i w:val="false"/>
          <w:color w:val="000000"/>
          <w:sz w:val="22"/>
        </w:rPr>
        <w:t>3) include a statement to the effect that contacts or briefings concerning the program by industry are no longer allowed outside of the formal source selection process; and</w:t>
      </w:r>
    </w:p>
    <w:p>
      <w:pPr>
        <w:pBdr>
          <w:top w:space="5"/>
          <w:left w:space="5"/>
          <w:bottom w:space="5"/>
          <w:right w:space="5"/>
        </w:pBdr>
        <w:spacing w:after="0"/>
        <w:ind w:left="225"/>
        <w:jc w:val="left"/>
      </w:pPr>
      <w:r>
        <w:rPr>
          <w:rFonts w:ascii="Times New Roman" w:hAnsi="Times New Roman"/>
          <w:b w:val="false"/>
          <w:i w:val="false"/>
          <w:color w:val="000000"/>
          <w:sz w:val="22"/>
        </w:rPr>
        <w:t>4) state that the PCO (include name and phone number) controls all contact or exchanges with industry/offerors and is the only person authorized to release source selection information before and after contract award.</w:t>
      </w:r>
    </w:p>
    <w:p>
      <w:pPr>
        <w:pBdr>
          <w:top w:space="5"/>
          <w:left w:space="5"/>
          <w:bottom w:space="5"/>
          <w:right w:space="5"/>
        </w:pBdr>
        <w:spacing w:after="0"/>
        <w:ind w:left="225"/>
        <w:jc w:val="left"/>
      </w:pPr>
      <w:r>
        <w:rPr>
          <w:rFonts w:ascii="Times New Roman" w:hAnsi="Times New Roman"/>
          <w:b w:val="false"/>
          <w:i w:val="false"/>
          <w:color w:val="000000"/>
          <w:sz w:val="22"/>
        </w:rPr>
        <w:t xml:space="preserve">A tailorable template for </w:t>
      </w:r>
      <w:hyperlink r:id="rId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Notice Announcing that a Source Selection is in Progress</w:t>
        </w:r>
      </w:hyperlink>
      <w:r>
        <w:rPr>
          <w:rFonts w:ascii="Times New Roman" w:hAnsi="Times New Roman"/>
          <w:b w:val="false"/>
          <w:i w:val="false"/>
          <w:color w:val="000000"/>
          <w:sz w:val="22"/>
          <w:u w:val="single"/>
        </w:rPr>
        <w:t>is available for use, if desired</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24">
        <w:r>
          <w:rPr>
            <w:rStyle w:val="Hyperlink"/>
            <w:rFonts w:ascii="Times New Roman" w:hAnsi="Times New Roman"/>
            <w:b w:val="false"/>
            <w:i w:val="false"/>
            <w:color w:val="0000ff"/>
            <w:sz w:val="22"/>
            <w:u w:val="single"/>
          </w:rPr>
          <w:t>SMC PGI 5315.3 (1.4.2.2.7)</w:t>
        </w:r>
      </w:hyperlink>
      <w:r>
        <w:rPr>
          <w:rFonts w:ascii="Times New Roman" w:hAnsi="Times New Roman"/>
          <w:b w:val="false"/>
          <w:i w:val="false"/>
          <w:color w:val="000000"/>
          <w:sz w:val="22"/>
        </w:rPr>
        <w:t xml:space="preserve"> .</w:t>
      </w:r>
    </w:p>
    <w:p>
      <w:pPr>
        <w:pBdr>
          <w:top w:space="5"/>
          <w:left w:space="5"/>
          <w:bottom w:space="5"/>
          <w:right w:space="5"/>
        </w:pBdr>
        <w:spacing w:after="0"/>
        <w:ind w:left="1305"/>
        <w:jc w:val="left"/>
      </w:pPr>
      <w:r>
        <w:rPr>
          <w:rFonts w:ascii="Times New Roman" w:hAnsi="Times New Roman"/>
          <w:b w:val="false"/>
          <w:i w:val="false"/>
          <w:color w:val="000000"/>
          <w:sz w:val="22"/>
        </w:rPr>
        <w:t xml:space="preserve">1.4.2.2.11 Post </w:t>
      </w:r>
      <w:hyperlink r:id="rId25">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source selection lessons learned</w:t>
        </w:r>
      </w:hyperlink>
      <w:r>
        <w:rPr>
          <w:rFonts w:ascii="Times New Roman" w:hAnsi="Times New Roman"/>
          <w:b w:val="false"/>
          <w:i w:val="false"/>
          <w:color w:val="000000"/>
          <w:sz w:val="22"/>
        </w:rPr>
        <w:t xml:space="preserve"> no later than 90 days after contract award or termination/cancellation of the source selection.</w:t>
      </w:r>
    </w:p>
    <w:p>
      <w:pPr>
        <w:pBdr>
          <w:top w:space="5"/>
          <w:left w:space="5"/>
          <w:bottom w:space="5"/>
          <w:right w:space="5"/>
        </w:pBdr>
        <w:spacing w:after="0"/>
        <w:ind w:left="585"/>
        <w:jc w:val="left"/>
      </w:pPr>
      <w:r>
        <w:rPr>
          <w:rFonts w:ascii="Times New Roman" w:hAnsi="Times New Roman"/>
          <w:b w:val="false"/>
          <w:i w:val="false"/>
          <w:color w:val="000000"/>
          <w:sz w:val="22"/>
        </w:rPr>
        <w:t>1.4.3 SSAC.</w:t>
      </w:r>
    </w:p>
    <w:p>
      <w:pPr>
        <w:pBdr>
          <w:top w:space="5"/>
          <w:left w:space="5"/>
          <w:bottom w:space="5"/>
          <w:right w:space="5"/>
        </w:pBdr>
        <w:spacing w:after="0"/>
        <w:ind w:left="945"/>
        <w:jc w:val="left"/>
      </w:pPr>
      <w:r>
        <w:rPr>
          <w:rFonts w:ascii="Times New Roman" w:hAnsi="Times New Roman"/>
          <w:b w:val="false"/>
          <w:i w:val="false"/>
          <w:color w:val="000000"/>
          <w:sz w:val="22"/>
        </w:rPr>
        <w:t>1.4.3.2 SSAC Composition.</w:t>
      </w:r>
    </w:p>
    <w:p>
      <w:pPr>
        <w:pBdr>
          <w:top w:space="5"/>
          <w:left w:space="5"/>
          <w:bottom w:space="5"/>
          <w:right w:space="5"/>
        </w:pBdr>
        <w:spacing w:after="0"/>
        <w:ind w:left="1305"/>
        <w:jc w:val="left"/>
      </w:pPr>
      <w:r>
        <w:rPr>
          <w:rFonts w:ascii="Times New Roman" w:hAnsi="Times New Roman"/>
          <w:b w:val="false"/>
          <w:i w:val="false"/>
          <w:color w:val="000000"/>
          <w:sz w:val="22"/>
        </w:rPr>
        <w:t>1.4.3.2.1 It is preferable that the SSAC Chairperson not be in the chain of command of the SSA.</w:t>
      </w:r>
    </w:p>
    <w:p>
      <w:pPr>
        <w:pBdr>
          <w:top w:space="5"/>
          <w:left w:space="5"/>
          <w:bottom w:space="5"/>
          <w:right w:space="5"/>
        </w:pBdr>
        <w:spacing w:after="0"/>
        <w:ind w:left="1305"/>
        <w:jc w:val="left"/>
      </w:pPr>
      <w:r>
        <w:rPr>
          <w:rFonts w:ascii="Times New Roman" w:hAnsi="Times New Roman"/>
          <w:b w:val="false"/>
          <w:i w:val="false"/>
          <w:color w:val="000000"/>
          <w:sz w:val="22"/>
        </w:rPr>
        <w:t>1.4.3.2.2 For all new Milestone B (Pre-MDAP on Major Defense Acquisition Program lists) ACAT I and II competitive acquisitions, the specific composition of the SSAC should consist of senior leaders (flag rank or 0-6/GS-15/NH-04 to the maximum extent practicable) from Program Management, Engineering, Finance, Legal, Contracting, Small Business, the ACE, and any other participants as determined appropriate by the SSA, who have recent experience in the successful conduct of source selections. The SSAC may be augmented with senior leaders from the SAF/AQ staff, when appropriate, to provide additional experience and expertise. The SSAC may also be supplemented by other subject matter experts at comparable functional positions. For non-weapon system acquisitions when an SSAC is used, the specific composition of the SSAC is at the discretion of the SSA, based upon the expertise required to accomplish a successful source selection.</w:t>
      </w:r>
    </w:p>
    <w:p>
      <w:pPr>
        <w:pBdr>
          <w:top w:space="5"/>
          <w:left w:space="5"/>
          <w:bottom w:space="5"/>
          <w:right w:space="5"/>
        </w:pBdr>
        <w:spacing w:after="0"/>
        <w:ind w:left="585"/>
        <w:jc w:val="left"/>
      </w:pPr>
      <w:r>
        <w:rPr>
          <w:rFonts w:ascii="Times New Roman" w:hAnsi="Times New Roman"/>
          <w:b w:val="false"/>
          <w:i w:val="false"/>
          <w:color w:val="000000"/>
          <w:sz w:val="22"/>
        </w:rPr>
        <w:t>1.4.4 SSEB.</w:t>
      </w:r>
    </w:p>
    <w:p>
      <w:pPr>
        <w:pBdr>
          <w:top w:space="5"/>
          <w:left w:space="5"/>
          <w:bottom w:space="5"/>
          <w:right w:space="5"/>
        </w:pBdr>
        <w:spacing w:after="0"/>
        <w:ind w:left="945"/>
        <w:jc w:val="left"/>
      </w:pPr>
      <w:r>
        <w:rPr>
          <w:rFonts w:ascii="Times New Roman" w:hAnsi="Times New Roman"/>
          <w:b w:val="false"/>
          <w:i w:val="false"/>
          <w:color w:val="000000"/>
          <w:sz w:val="22"/>
        </w:rPr>
        <w:t>1.4.4.4 SSEB Responsibilities.</w:t>
      </w:r>
    </w:p>
    <w:p>
      <w:pPr>
        <w:pBdr>
          <w:top w:space="5"/>
          <w:left w:space="5"/>
          <w:bottom w:space="5"/>
          <w:right w:space="5"/>
        </w:pBdr>
        <w:spacing w:after="0"/>
        <w:ind w:left="1665"/>
        <w:jc w:val="left"/>
      </w:pPr>
      <w:r>
        <w:rPr>
          <w:rFonts w:ascii="Times New Roman" w:hAnsi="Times New Roman"/>
          <w:b w:val="false"/>
          <w:i w:val="false"/>
          <w:color w:val="000000"/>
          <w:sz w:val="22"/>
        </w:rPr>
        <w:t>1.4.4.4.1.7 It is considered a best practice for the Program Manager (PM), when one is assigned, to serve as the SSEB Chairperson. It is also a best practice that the SSEB chair not serve in multiple roles.</w:t>
      </w:r>
    </w:p>
    <w:p>
      <w:pPr>
        <w:pBdr>
          <w:top w:space="5"/>
          <w:left w:space="5"/>
          <w:bottom w:space="5"/>
          <w:right w:space="5"/>
        </w:pBdr>
        <w:spacing w:after="0"/>
        <w:ind w:left="1305"/>
        <w:jc w:val="left"/>
      </w:pPr>
      <w:r>
        <w:rPr>
          <w:rFonts w:ascii="Times New Roman" w:hAnsi="Times New Roman"/>
          <w:b w:val="false"/>
          <w:i w:val="false"/>
          <w:color w:val="000000"/>
          <w:sz w:val="22"/>
        </w:rPr>
        <w:t>1.4.4.4.3 For source selections without an SSAC, the SSEB Chairperson must document in the source selection plan, whether or not the SSA wants the SSEB to perform the comparative analysis of proposals and provide that analysis and an award recommendation in the SSEB Final Report. .</w:t>
      </w:r>
    </w:p>
    <w:p>
      <w:pPr>
        <w:pBdr>
          <w:top w:space="5"/>
          <w:left w:space="5"/>
          <w:bottom w:space="5"/>
          <w:right w:space="5"/>
        </w:pBdr>
        <w:spacing w:after="0"/>
        <w:ind w:left="585"/>
        <w:jc w:val="left"/>
      </w:pPr>
      <w:r>
        <w:rPr>
          <w:rFonts w:ascii="Times New Roman" w:hAnsi="Times New Roman"/>
          <w:b w:val="false"/>
          <w:i w:val="false"/>
          <w:color w:val="000000"/>
          <w:sz w:val="22"/>
        </w:rPr>
        <w:t>1.4.6 Other Advisors.</w:t>
      </w:r>
    </w:p>
    <w:p>
      <w:pPr>
        <w:pBdr>
          <w:top w:space="5"/>
          <w:left w:space="5"/>
          <w:bottom w:space="5"/>
          <w:right w:space="5"/>
        </w:pBdr>
        <w:spacing w:after="0"/>
        <w:ind w:left="945"/>
        <w:jc w:val="left"/>
      </w:pPr>
      <w:r>
        <w:rPr>
          <w:rFonts w:ascii="Times New Roman" w:hAnsi="Times New Roman"/>
          <w:b w:val="false"/>
          <w:i w:val="false"/>
          <w:color w:val="000000"/>
          <w:sz w:val="22"/>
        </w:rPr>
        <w:t>1.4.6.1 Government Advisors. Foreign Military Sales (FMS) customers and international cooperative project partners may only participate in the source selection process as advisors. The PCO must not disclose to the FMS customer any form of cost or price data that is proprietary unless the offeror authorizes its release.</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26">
        <w:r>
          <w:rPr>
            <w:rStyle w:val="Hyperlink"/>
            <w:rFonts w:ascii="Times New Roman" w:hAnsi="Times New Roman"/>
            <w:b w:val="false"/>
            <w:i w:val="false"/>
            <w:color w:val="0000ff"/>
            <w:sz w:val="22"/>
            <w:u w:val="single"/>
          </w:rPr>
          <w:t>AFMC PGI 5315.3 (1.4.6.1)</w:t>
        </w:r>
      </w:hyperlink>
      <w:r>
        <w:rPr>
          <w:rFonts w:ascii="Times New Roman" w:hAnsi="Times New Roman"/>
          <w:b w:val="false"/>
          <w:i w:val="false"/>
          <w:color w:val="000000"/>
          <w:sz w:val="22"/>
        </w:rPr>
        <w:t xml:space="preserve"> .</w:t>
      </w:r>
    </w:p>
    <w:p>
      <w:pPr>
        <w:pBdr>
          <w:top w:space="5"/>
          <w:left w:space="5"/>
          <w:bottom w:space="5"/>
          <w:right w:space="5"/>
        </w:pBdr>
        <w:spacing w:after="0"/>
        <w:ind w:left="1305"/>
        <w:jc w:val="left"/>
      </w:pPr>
      <w:r>
        <w:rPr>
          <w:rFonts w:ascii="Times New Roman" w:hAnsi="Times New Roman"/>
          <w:b w:val="false"/>
          <w:i w:val="false"/>
          <w:color w:val="000000"/>
          <w:sz w:val="22"/>
        </w:rPr>
        <w:t>1.4.6.2.2 Limitations on use of nongovernment advisors. Nongovernment advisors shall not attend the past performance portion of evaluation briefings.</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27">
        <w:r>
          <w:rPr>
            <w:rStyle w:val="Hyperlink"/>
            <w:rFonts w:ascii="Times New Roman" w:hAnsi="Times New Roman"/>
            <w:b w:val="false"/>
            <w:i w:val="false"/>
            <w:color w:val="0000ff"/>
            <w:sz w:val="22"/>
            <w:u w:val="single"/>
          </w:rPr>
          <w:t>AFMC PGI 5315.3 (1.4.7.2)</w:t>
        </w:r>
      </w:hyperlink>
      <w:r>
        <w:rPr>
          <w:rFonts w:ascii="Times New Roman" w:hAnsi="Times New Roman"/>
          <w:b w:val="false"/>
          <w:i w:val="false"/>
          <w:color w:val="000000"/>
          <w:sz w:val="22"/>
        </w:rPr>
        <w:t xml:space="preserve"> .</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tatic.e-publishing.af.mil/production/1/saf_aq/publication/afi63-138/afi63-138.pdf" Type="http://schemas.openxmlformats.org/officeDocument/2006/relationships/hyperlink" Id="rId4"/>
    <Relationship TargetMode="External" Target="http://static.e-publishing.af.mil/production/1/saf_aq/publication/afi63-138/afi63-138.pdf" Type="http://schemas.openxmlformats.org/officeDocument/2006/relationships/hyperlink" Id="rId5"/>
    <Relationship TargetMode="External" Target="http://static.e-publishing.af.mil/production/1/saf_aq/publication/afi63-138/afi63-138.pdf" Type="http://schemas.openxmlformats.org/officeDocument/2006/relationships/hyperlink" Id="rId6"/>
    <Relationship TargetMode="External" Target="https://usaf.dps.mil/sites/AFCC/KnowledgeCenter/contracting_templates/memo_SSA_Delegation.docx" Type="http://schemas.openxmlformats.org/officeDocument/2006/relationships/hyperlink" Id="rId7"/>
    <Relationship TargetMode="External" Target="AFMC_PGI_5315_3.dita#AFFARS_AFMC_PGI_5315_3" Type="http://schemas.openxmlformats.org/officeDocument/2006/relationships/hyperlink" Id="rId8"/>
    <Relationship TargetMode="External" Target="SMC_PGI_5315_3.dita#AFFARS_SMC_PGI_5315_3" Type="http://schemas.openxmlformats.org/officeDocument/2006/relationships/hyperlink" Id="rId9"/>
    <Relationship TargetMode="External" Target="USAFA_PGI_5315_3.dita#AFFARS_USAFA_PGI_5315_3" Type="http://schemas.openxmlformats.org/officeDocument/2006/relationships/hyperlink" Id="rId10"/>
    <Relationship TargetMode="External" Target="https://usaf.dps.mil/sites/AFCC/KnowledgeCenter/contracting_templates/ss_non-disclosure_agreement.pdf" Type="http://schemas.openxmlformats.org/officeDocument/2006/relationships/hyperlink" Id="rId11"/>
    <Relationship TargetMode="External" Target="5303_104_4.dita#AFFARS_5303_104_4" Type="http://schemas.openxmlformats.org/officeDocument/2006/relationships/hyperlink" Id="rId12"/>
    <Relationship TargetMode="External" Target="https://usaf.dps.mil/sites/AFCC/KnowledgeCenter/contracting_templates/conflict_of_interest_statement.pdf" Type="http://schemas.openxmlformats.org/officeDocument/2006/relationships/hyperlink" Id="rId13"/>
    <Relationship TargetMode="External" Target="http://www.acq.osd.mil/dpap/policy/policyvault/USA004370-14-DPAP.pdf" Type="http://schemas.openxmlformats.org/officeDocument/2006/relationships/hyperlink" Id="rId14"/>
    <Relationship TargetMode="External" Target="SMC_PGI_5315_3A.dita#AFFARS_SMC_PGI_5315_3A" Type="http://schemas.openxmlformats.org/officeDocument/2006/relationships/hyperlink" Id="rId15"/>
    <Relationship TargetMode="External" Target="https://usaf.dps.mil/sites/AFCC/KnowledgeCenter/Documents/AFFARS_Library/5315/samples/use_of_non-government_advisors.docx" Type="http://schemas.openxmlformats.org/officeDocument/2006/relationships/hyperlink" Id="rId16"/>
    <Relationship TargetMode="External" Target="https://usaf.dps.mil/sites/AFCC/KnowledgeCenter/contracting_templates/ss_info_cover_sheet.pdf" Type="http://schemas.openxmlformats.org/officeDocument/2006/relationships/hyperlink" Id="rId17"/>
    <Relationship TargetMode="External" Target="https://usaf.dps.mil/sites/AFCC/KnowledgeCenter/contracting_templates/ss_info_cover_sheet_USAF_CUI_SF901.docx" Type="http://schemas.openxmlformats.org/officeDocument/2006/relationships/hyperlink" Id="rId18"/>
    <Relationship TargetMode="External" Target="https://usaf.dps.mil/sites/AFCC/KnowledgeCenter/contracting_templates/verification_of_correspondence_to_offeror.xls" Type="http://schemas.openxmlformats.org/officeDocument/2006/relationships/hyperlink" Id="rId19"/>
    <Relationship TargetMode="External" Target="AFMC_PGI_5315_3A.dita#AFFARS_AFMC_PGI_5315_3A" Type="http://schemas.openxmlformats.org/officeDocument/2006/relationships/hyperlink" Id="rId20"/>
    <Relationship TargetMode="External" Target="https://usaf.dps.mil/sites/AFCC/afcc/knowledge_center/templates/ss_file_checklist.docx" Type="http://schemas.openxmlformats.org/officeDocument/2006/relationships/hyperlink" Id="rId21"/>
    <Relationship TargetMode="External" Target="mailto:SAF.AQ.SAF-AQC.Workflow@us.af.mil" Type="http://schemas.openxmlformats.org/officeDocument/2006/relationships/hyperlink" Id="rId22"/>
    <Relationship TargetMode="External" Target="https://usaf.dps.mil/sites/AFCC/KnowledgeCenter/Documents/AFFARS_Library/5315/samples/soure_selection_notification.docx" Type="http://schemas.openxmlformats.org/officeDocument/2006/relationships/hyperlink" Id="rId23"/>
    <Relationship TargetMode="External" Target="SMC_PGI_5315_3B.dita#AFFARS_SMC_PGI_5315_3B" Type="http://schemas.openxmlformats.org/officeDocument/2006/relationships/hyperlink" Id="rId24"/>
    <Relationship TargetMode="External" Target="https://usaf.dps.mil/sites/AFCC/KnowledgeCenter/Lists/lessons_learned/AllItems.aspx" Type="http://schemas.openxmlformats.org/officeDocument/2006/relationships/hyperlink" Id="rId25"/>
    <Relationship TargetMode="External" Target="AFMC_PGI_5315_3B.dita#AFFARS_AFMC_PGI_5315_3B" Type="http://schemas.openxmlformats.org/officeDocument/2006/relationships/hyperlink" Id="rId26"/>
    <Relationship TargetMode="External" Target="AFMC_PGI_5315_3C.dita#AFFARS_AFMC_PGI_5315_3C" Type="http://schemas.openxmlformats.org/officeDocument/2006/relationships/hyperlink" Id="rId2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