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**ID__AFFARS_MP_5315_3_2_1__ID**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2.1</w:t>
      </w:r>
      <w:r>
        <w:rPr>
          <w:rFonts w:ascii="Times New Roman" w:hAnsi="Times New Roman"/>
          <w:i w:val="false"/>
          <w:color w:val="000000"/>
          <w:sz w:val="31"/>
        </w:rPr>
        <w:t xml:space="preserve"> Conduct Acquisition Planning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(2.1.2.3)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3D.dita#AFFARS_SMC_PGI_5315_3D" Type="http://schemas.openxmlformats.org/officeDocument/2006/relationships/hyperlink" Id="rId4"/>
    <Relationship TargetMode="External" Target="SMC_PGI_5315_3E.dita#AFFARS_SMC_PGI_5315_3E" Type="http://schemas.openxmlformats.org/officeDocument/2006/relationships/hyperlink" Id="rId5"/>
    <Relationship TargetMode="External" Target="AFMC_PGI_5315_3D.dita#AFFARS_AFMC_PGI_5315_3D" Type="http://schemas.openxmlformats.org/officeDocument/2006/relationships/hyperlink" Id="rId6"/>
    <Relationship TargetMode="External" Target="SMC_PGI_5315_3F.dita#AFFARS_SMC_PGI_5315_3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