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**ID__AFFARS_MP_5315_3_2_3__ID**</w:t>
      </w:r>
    </w:p>
    <w:p>
      <w:pPr>
        <w:pStyle w:val="Heading4"/>
        <w:spacing w:after="269"/>
        <w:ind w:left="120"/>
        <w:jc w:val="left"/>
      </w:pPr>
      <w:r>
        <w:rPr>
          <w:rFonts w:ascii="Times New Roman" w:hAnsi="Times New Roman"/>
          <w:i w:val="false"/>
          <w:color w:val="000000"/>
          <w:sz w:val="31"/>
        </w:rPr>
        <w:t>2.3</w:t>
      </w:r>
      <w:r>
        <w:rPr>
          <w:rFonts w:ascii="Times New Roman" w:hAnsi="Times New Roman"/>
          <w:i w:val="false"/>
          <w:color w:val="000000"/>
          <w:sz w:val="31"/>
        </w:rPr>
        <w:t xml:space="preserve"> Develop the Request for Proposals</w:t>
      </w:r>
    </w:p>
    <w:p>
      <w:pPr>
        <w:pBdr>
          <w:top w:space="5"/>
          <w:left w:space="5"/>
          <w:bottom w:space="5"/>
          <w:right w:space="5"/>
        </w:pBdr>
        <w:spacing w:after="0"/>
        <w:ind w:left="585"/>
        <w:jc w:val="left"/>
      </w:pPr>
      <w:r>
        <w:rPr>
          <w:rFonts w:ascii="Times New Roman" w:hAnsi="Times New Roman"/>
          <w:b w:val="false"/>
          <w:i w:val="false"/>
          <w:color w:val="000000"/>
          <w:sz w:val="22"/>
        </w:rPr>
        <w:t>2.3.1 Evaluation Factors/Subfactors. RFP</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Section L and M samples</w:t>
        </w:r>
      </w:hyperlink>
      <w:r>
        <w:rPr>
          <w:rFonts w:ascii="Times New Roman" w:hAnsi="Times New Roman"/>
          <w:b w:val="false"/>
          <w:i w:val="false"/>
          <w:color w:val="000000"/>
          <w:sz w:val="22"/>
          <w:u w:val="single"/>
        </w:rPr>
        <w:t>are available for use, as desired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AFMC PGI 5315.3 (2.3.1)</w:t>
        </w:r>
      </w:hyperlink>
      <w:r>
        <w:rPr>
          <w:rFonts w:ascii="Times New Roman" w:hAnsi="Times New Roman"/>
          <w:b w:val="false"/>
          <w:i w:val="false"/>
          <w:color w:val="000000"/>
          <w:sz w:val="22"/>
        </w:rPr>
        <w:t xml:space="preserve"> .</w:t>
      </w:r>
    </w:p>
    <w:p>
      <w:pPr>
        <w:pBdr>
          <w:top w:space="5"/>
          <w:left w:space="5"/>
          <w:bottom w:space="5"/>
          <w:right w:space="5"/>
        </w:pBdr>
        <w:spacing w:after="0"/>
        <w:ind w:left="945"/>
        <w:jc w:val="left"/>
      </w:pPr>
      <w:r>
        <w:rPr>
          <w:rFonts w:ascii="Times New Roman" w:hAnsi="Times New Roman"/>
          <w:b w:val="false"/>
          <w:i w:val="false"/>
          <w:color w:val="000000"/>
          <w:sz w:val="22"/>
        </w:rPr>
        <w:t>2.3.4.1 Cost or Price. The analysis technique(s) identified in FAR 15.404, as supplemented, for the evaluation of the proposed cost or price shall be included in the evaluation criteria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2.3.4.1.1 When used, the Probable Cost estimate is the government estimate of the cost to acquire specified goods and/or services based on each offeror’s proposed approach. The Probable Cost is based upon an analysis of each offeror’s unique proposal in accordance with FAR 15.404-1(d). Define all the components that make up the aggregate government Probable Cost and specify them in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pPr>
        <w:pBdr>
          <w:top w:space="5"/>
          <w:left w:space="5"/>
          <w:bottom w:space="5"/>
          <w:right w:space="5"/>
        </w:pBdr>
        <w:spacing w:after="0"/>
        <w:ind w:left="585"/>
        <w:jc w:val="left"/>
      </w:pPr>
      <w:r>
        <w:rPr>
          <w:rFonts w:ascii="Times New Roman" w:hAnsi="Times New Roman"/>
          <w:b w:val="false"/>
          <w:i w:val="false"/>
          <w:color w:val="000000"/>
          <w:sz w:val="22"/>
        </w:rP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Pages/5315-main.aspx" Type="http://schemas.openxmlformats.org/officeDocument/2006/relationships/hyperlink" Id="rId4"/>
    <Relationship TargetMode="External" Target="AFMC_PGI_5315_3E.dita#AFFARS_AFMC_PGI_5315_3E"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