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</w:t>
      </w:r>
      <w:r>
        <w:rPr>
          <w:rFonts w:ascii="Times New Roman" w:hAnsi="Times New Roman"/>
          <w:i w:val="false"/>
          <w:color w:val="000000"/>
          <w:sz w:val="31"/>
        </w:rPr>
        <w:t xml:space="preserve"> Evaluation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3.1.1.5 When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FAR 52.222-46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Evaluation of Compensation for Professional Employees (Feb 1993), is included in the RFP, the Government shall evaluate whether all offerors considered for award understand the contract requirements and have proposed a compensation plan appropriate for those requirements. This evaluation may be accomplished through a technical subfactor to evaluate offerors’ proposed management approach and or/staffing plan, or including the evaluation under the cost/price factor or as a “Volume I” proposal submission and element of proposal compliance and offeror responsibility.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3.1.1.5.1 When including the professional employee compensation evaluation as a “Volume I” proposal submission and element of proposal compliance and offeror responsibility in a source selection with small business offerors, a finding of non-responsibility due to an inadequate professional employee compensation plan for an otherwise successful small business offeror requires the PCO to engage the Small Business Administration Certificate of Competency (CoC)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