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3.4</w:t>
      </w:r>
      <w:r>
        <w:rPr>
          <w:rFonts w:ascii="Times New Roman" w:hAnsi="Times New Roman"/>
          <w:i w:val="false"/>
          <w:color w:val="000000"/>
          <w:sz w:val="31"/>
        </w:rPr>
        <w:t xml:space="preserve"> Competitive Range Decision Document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3.4.1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Competitive Range Decision Document</w:t>
        </w:r>
      </w:hyperlink>
      <w:r>
        <w:rPr>
          <w:rFonts w:ascii="Times New Roman" w:hAnsi="Times New Roman"/>
          <w:b w:val="false"/>
          <w:i/>
          <w:color w:val="000000"/>
          <w:sz w:val="22"/>
        </w:rPr>
        <w:t>(CRDD)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mpetitive_range_decision_document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