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**ID__AFFARS_MP_5315_3_3_4__ID**</w:t>
      </w:r>
    </w:p>
    <w:p>
      <w:pPr>
        <w:pStyle w:val="Heading4"/>
        <w:spacing w:after="269"/>
        <w:ind w:left="120"/>
        <w:jc w:val="left"/>
      </w:pPr>
      <w:r>
        <w:rPr>
          <w:rFonts w:ascii="Times New Roman" w:hAnsi="Times New Roman"/>
          <w:i w:val="false"/>
          <w:color w:val="000000"/>
          <w:sz w:val="31"/>
        </w:rPr>
        <w:t>3.4</w:t>
      </w:r>
      <w:r>
        <w:rPr>
          <w:rFonts w:ascii="Times New Roman" w:hAnsi="Times New Roman"/>
          <w:i w:val="false"/>
          <w:color w:val="000000"/>
          <w:sz w:val="31"/>
        </w:rPr>
        <w:t xml:space="preserve"> Competitive Range Decision Document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3.4.1 The tailorable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/>
            <w:color w:val="0000ff"/>
            <w:sz w:val="22"/>
            <w:u w:val="single"/>
          </w:rPr>
          <w:t>Competitive Range Decision Document</w:t>
        </w:r>
      </w:hyperlink>
      <w:r>
        <w:rPr>
          <w:rFonts w:ascii="Times New Roman" w:hAnsi="Times New Roman"/>
          <w:b w:val="false"/>
          <w:i/>
          <w:color w:val="000000"/>
          <w:sz w:val="22"/>
        </w:rPr>
        <w:t>(CRDD)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template is available for use, as desired.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usaf.dps.mil/sites/AFCC/KnowledgeCenter/contracting_templates/competitive_range_decision_document.docx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