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**ID__AFFARS_mp_5315_3_topic_19__ID**</w:t>
      </w:r>
      <w:r>
        <w:rPr>
          <w:rFonts w:ascii="Times New Roman" w:hAnsi="Times New Roman"/>
          <w:b w:val="false"/>
          <w:i w:val="false"/>
          <w:color w:val="000000"/>
          <w:sz w:val="22"/>
        </w:rPr>
        <w:t xml:space="preserve"> </w:t>
      </w:r>
    </w:p>
    <w:p>
      <w:pPr>
        <w:pStyle w:val="Heading4"/>
        <w:spacing w:after="269"/>
        <w:ind w:left="120"/>
        <w:jc w:val="left"/>
      </w:pPr>
      <w:r>
        <w:rPr>
          <w:rFonts w:ascii="Times New Roman" w:hAnsi="Times New Roman"/>
          <w:i w:val="false"/>
          <w:color w:val="000000"/>
          <w:sz w:val="31"/>
        </w:rPr>
        <w:t>3.7</w:t>
      </w:r>
      <w:r>
        <w:rPr>
          <w:rFonts w:ascii="Times New Roman" w:hAnsi="Times New Roman"/>
          <w:i w:val="false"/>
          <w:color w:val="000000"/>
          <w:sz w:val="31"/>
        </w:rPr>
        <w:t xml:space="preserve"> Documentation of Final Evaluation Results</w:t>
      </w:r>
    </w:p>
    <w:p>
      <w:pPr>
        <w:pBdr>
          <w:top w:space="5"/>
          <w:left w:space="5"/>
          <w:bottom w:space="5"/>
          <w:right w:space="5"/>
        </w:pBdr>
        <w:spacing w:after="0"/>
        <w:ind w:left="585"/>
        <w:jc w:val="left"/>
      </w:pPr>
      <w:r>
        <w:rPr>
          <w:rFonts w:ascii="Times New Roman" w:hAnsi="Times New Roman"/>
          <w:b w:val="false"/>
          <w:i w:val="false"/>
          <w:color w:val="000000"/>
          <w:sz w:val="22"/>
        </w:rPr>
        <w:t xml:space="preserve">3.7.1 The rationale for final evaluation results and assignment of final ratings will be fully and contemporaneously documented in the SSEB Final Report. The SSEB Final Report is prepared by the SSEB and reviewed by the SSAC (if an SSAC is used) and signed by the PCO and SSEB Chairperson after the evaluation of FPRs. The tailorable </w:t>
      </w:r>
      <w:hyperlink r:id="rId4">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SSEB Report</w:t>
        </w:r>
      </w:hyperlink>
      <w:r>
        <w:rPr>
          <w:rFonts w:ascii="Times New Roman" w:hAnsi="Times New Roman"/>
          <w:b w:val="false"/>
          <w:i w:val="false"/>
          <w:color w:val="000000"/>
          <w:sz w:val="22"/>
        </w:rPr>
        <w:t>template is available for use, as desired.</w:t>
      </w:r>
    </w:p>
    <w:p>
      <w:pPr>
        <w:pBdr>
          <w:top w:space="5"/>
          <w:left w:space="5"/>
          <w:bottom w:space="5"/>
          <w:right w:space="5"/>
        </w:pBdr>
        <w:spacing w:after="0"/>
        <w:ind w:left="585"/>
        <w:jc w:val="left"/>
      </w:pPr>
      <w:r>
        <w:rPr>
          <w:rFonts w:ascii="Times New Roman" w:hAnsi="Times New Roman"/>
          <w:b w:val="false"/>
          <w:i w:val="false"/>
          <w:color w:val="000000"/>
          <w:sz w:val="22"/>
        </w:rPr>
        <w:t>3.7.2 The SSEB Final Report must document, if applicable, any minority and dissenting opinion(s).</w:t>
      </w:r>
    </w:p>
    <w:p>
      <w:pPr>
        <w:pBdr>
          <w:top w:space="5"/>
          <w:left w:space="5"/>
          <w:bottom w:space="5"/>
          <w:right w:space="5"/>
        </w:pBdr>
        <w:spacing w:after="0"/>
        <w:ind w:left="585"/>
        <w:jc w:val="left"/>
      </w:pPr>
      <w:r>
        <w:rPr>
          <w:rFonts w:ascii="Times New Roman" w:hAnsi="Times New Roman"/>
          <w:b w:val="false"/>
          <w:i w:val="false"/>
          <w:color w:val="000000"/>
          <w:sz w:val="22"/>
        </w:rPr>
        <w:t xml:space="preserve">3.7.3 A decision briefing, prepared by the SSEB, will generally be conducted whenever the SSA is other than the PCO. The tailorable </w:t>
      </w:r>
      <w:hyperlink r:id="rId5">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Final Decision Briefing</w:t>
        </w:r>
      </w:hyperlink>
      <w:r>
        <w:rPr>
          <w:rFonts w:ascii="Times New Roman" w:hAnsi="Times New Roman"/>
          <w:b w:val="false"/>
          <w:i w:val="false"/>
          <w:color w:val="000000"/>
          <w:sz w:val="22"/>
        </w:rPr>
        <w:t>template is available for use, as desired.</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sites/AFCC/KnowledgeCenter/contracting_templates/sseb_report.docx" Type="http://schemas.openxmlformats.org/officeDocument/2006/relationships/hyperlink" Id="rId4"/>
    <Relationship TargetMode="External" Target="https://usaf.dps.mil/sites/AFCC/KnowledgeCenter/contracting_templates/final_decision_brief.pptx"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