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**ID__AFFARS_MP_5315_3_3_12__ID**</w:t>
      </w:r>
    </w:p>
    <w:p>
      <w:pPr>
        <w:pStyle w:val="Heading4"/>
        <w:spacing w:after="269"/>
        <w:ind w:left="120"/>
        <w:jc w:val="left"/>
      </w:pPr>
      <w:r>
        <w:rPr>
          <w:rFonts w:ascii="Times New Roman" w:hAnsi="Times New Roman"/>
          <w:i w:val="false"/>
          <w:color w:val="000000"/>
          <w:sz w:val="31"/>
        </w:rPr>
        <w:t>3.12</w:t>
      </w:r>
      <w:r>
        <w:rPr>
          <w:rFonts w:ascii="Times New Roman" w:hAnsi="Times New Roman"/>
          <w:i w:val="false"/>
          <w:color w:val="000000"/>
          <w:sz w:val="31"/>
        </w:rPr>
        <w:t xml:space="preserve"> Integrating Proposal into the Contract</w:t>
      </w:r>
    </w:p>
    <w:p>
      <w:pPr>
        <w:pBdr>
          <w:top w:space="5"/>
          <w:left w:space="5"/>
          <w:bottom w:space="5"/>
          <w:right w:space="5"/>
        </w:pBdr>
        <w:spacing w:after="0"/>
        <w:ind w:left="225"/>
        <w:jc w:val="left"/>
      </w:pPr>
      <w:r>
        <w:rPr>
          <w:rFonts w:ascii="Times New Roman" w:hAnsi="Times New Roman"/>
          <w:b w:val="false"/>
          <w:i w:val="false"/>
          <w:color w:val="000000"/>
          <w:sz w:val="22"/>
        </w:rP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