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**ID__AFFARS_MP_5315_3_6_4__ID**</w:t>
      </w:r>
    </w:p>
    <w:p>
      <w:pPr>
        <w:pStyle w:val="Heading4"/>
        <w:spacing w:after="269"/>
        <w:ind w:left="120"/>
        <w:jc w:val="left"/>
      </w:pPr>
      <w:r>
        <w:rPr>
          <w:rFonts w:ascii="Times New Roman" w:hAnsi="Times New Roman"/>
          <w:i w:val="false"/>
          <w:color w:val="000000"/>
          <w:sz w:val="31"/>
        </w:rPr>
        <w:t>6.4</w:t>
      </w:r>
      <w:r>
        <w:rPr>
          <w:rFonts w:ascii="Times New Roman" w:hAnsi="Times New Roman"/>
          <w:i w:val="false"/>
          <w:color w:val="000000"/>
          <w:sz w:val="31"/>
        </w:rPr>
        <w:t xml:space="preserve"> Acquisition/Source Selection Team Training</w:t>
      </w:r>
    </w:p>
    <w:p>
      <w:pPr>
        <w:pBdr>
          <w:top w:space="5"/>
          <w:left w:space="5"/>
          <w:bottom w:space="5"/>
          <w:right w:space="5"/>
        </w:pBdr>
        <w:spacing w:after="0"/>
        <w:ind w:left="585"/>
        <w:jc w:val="left"/>
      </w:pPr>
      <w:r>
        <w:rPr>
          <w:rFonts w:ascii="Times New Roman" w:hAnsi="Times New Roman"/>
          <w:b w:val="false"/>
          <w:i w:val="false"/>
          <w:color w:val="000000"/>
          <w:sz w:val="22"/>
        </w:rPr>
        <w:t>6.4.1 Conducting Source Selection Training Sessions.</w:t>
      </w:r>
    </w:p>
    <w:p>
      <w:pPr>
        <w:pBdr>
          <w:top w:space="5"/>
          <w:left w:space="5"/>
          <w:bottom w:space="5"/>
          <w:right w:space="5"/>
        </w:pBdr>
        <w:spacing w:after="0"/>
        <w:ind w:left="225"/>
        <w:jc w:val="left"/>
      </w:pPr>
      <w:r>
        <w:rPr>
          <w:rFonts w:ascii="Times New Roman" w:hAnsi="Times New Roman"/>
          <w:b w:val="false"/>
          <w:i w:val="false"/>
          <w:color w:val="000000"/>
          <w:sz w:val="22"/>
        </w:rPr>
        <w:t>Source selection training must be presented to the entire SST, including the SSA, SSAC Chair and members, PM (where one is assigned), RO, and all advisors. Independent review of source selection training materials by SST members and/or attendance at “Train-the-Trainer” training is not sufficient to satisfy this training requirement.</w:t>
      </w:r>
    </w:p>
    <w:p>
      <w:pPr>
        <w:numPr>
          <w:ilvl w:val="0"/>
          <w:numId w:val="1"/>
        </w:numPr>
        <w:spacing w:after="0"/>
        <w:jc w:val="left"/>
      </w:pPr>
      <w:r>
        <w:rPr>
          <w:rFonts w:ascii="Times New Roman" w:hAnsi="Times New Roman"/>
          <w:b w:val="false"/>
          <w:i w:val="false"/>
          <w:color w:val="000000"/>
          <w:sz w:val="22"/>
        </w:rPr>
        <w:t xml:space="preserve">Specialized executive level training modules are available for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SSAC</w:t>
        </w:r>
      </w:hyperlink>
      <w:r>
        <w:rPr>
          <w:rFonts w:ascii="Times New Roman" w:hAnsi="Times New Roman"/>
          <w:b w:val="false"/>
          <w:i w:val="false"/>
          <w:color w:val="000000"/>
          <w:sz w:val="22"/>
        </w:rPr>
        <w:t>.</w:t>
      </w:r>
    </w:p>
    <w:p>
      <w:pPr>
        <w:numPr>
          <w:ilvl w:val="0"/>
          <w:numId w:val="1"/>
        </w:numPr>
        <w:spacing w:after="0"/>
        <w:jc w:val="left"/>
      </w:pPr>
      <w:r>
        <w:rPr>
          <w:rFonts w:ascii="Times New Roman" w:hAnsi="Times New Roman"/>
          <w:b/>
          <w:i w:val="false"/>
          <w:color w:val="000000"/>
          <w:sz w:val="22"/>
        </w:rPr>
        <w:t>Phase I</w:t>
      </w:r>
      <w:r>
        <w:rPr>
          <w:rFonts w:ascii="Times New Roman" w:hAnsi="Times New Roman"/>
          <w:b w:val="false"/>
          <w:i w:val="false"/>
          <w:color w:val="000000"/>
          <w:sz w:val="22"/>
        </w:rPr>
        <w:t xml:space="preserve"> (Acquisition Planning) training should be presented at the earliest stage of an acquisition and covers the acquisition process up to release of the RFP.</w:t>
      </w:r>
    </w:p>
    <w:p>
      <w:pPr>
        <w:numPr>
          <w:ilvl w:val="0"/>
          <w:numId w:val="1"/>
        </w:numPr>
        <w:spacing w:after="0"/>
        <w:jc w:val="left"/>
      </w:pPr>
      <w:r>
        <w:rPr>
          <w:rFonts w:ascii="Times New Roman" w:hAnsi="Times New Roman"/>
          <w:b/>
          <w:i w:val="false"/>
          <w:color w:val="000000"/>
          <w:sz w:val="22"/>
        </w:rPr>
        <w:t>Phase II</w:t>
      </w:r>
      <w:r>
        <w:rPr>
          <w:rFonts w:ascii="Times New Roman" w:hAnsi="Times New Roman"/>
          <w:b w:val="false"/>
          <w:i w:val="false"/>
          <w:color w:val="000000"/>
          <w:sz w:val="22"/>
        </w:rPr>
        <w:t>(Source Selection Execution) training is presented prior to or immediately after receipt of proposals.</w:t>
      </w:r>
    </w:p>
    <w:p>
      <w:pPr>
        <w:pBdr>
          <w:top w:space="5"/>
          <w:left w:space="5"/>
          <w:bottom w:space="5"/>
          <w:right w:space="5"/>
        </w:pBdr>
        <w:spacing w:after="0"/>
        <w:ind w:left="585"/>
        <w:jc w:val="left"/>
      </w:pPr>
      <w:r>
        <w:rPr>
          <w:rFonts w:ascii="Times New Roman" w:hAnsi="Times New Roman"/>
          <w:b w:val="false"/>
          <w:i w:val="false"/>
          <w:color w:val="000000"/>
          <w:sz w:val="22"/>
        </w:rPr>
        <w:t>6.4.2 Training Content and Process.</w:t>
      </w:r>
    </w:p>
    <w:p>
      <w:pPr>
        <w:pBdr>
          <w:top w:space="5"/>
          <w:left w:space="5"/>
          <w:bottom w:space="5"/>
          <w:right w:space="5"/>
        </w:pBdr>
        <w:spacing w:after="0"/>
        <w:ind w:left="225"/>
        <w:jc w:val="left"/>
      </w:pPr>
      <w:r>
        <w:rPr>
          <w:rFonts w:ascii="Times New Roman" w:hAnsi="Times New Roman"/>
          <w:b w:val="false"/>
          <w:i w:val="false"/>
          <w:color w:val="000000"/>
          <w:sz w:val="22"/>
        </w:rPr>
        <w:t>The SAF/AQC FST develops and maintains source selection training modules to assist Source Selection Trainers. Trainers are encouraged to tailor the modules, as needed, to meet the unique elements of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w:t>
      </w:r>
      <w:r>
        <w:rPr>
          <w:rFonts w:ascii="Times New Roman" w:hAnsi="Times New Roman"/>
          <w:b/>
          <w:i w:val="false"/>
          <w:color w:val="000000"/>
          <w:sz w:val="22"/>
        </w:rPr>
        <w:t>Ethics, Procurement Integrity, and Conflicts of Interest</w:t>
      </w:r>
      <w:r>
        <w:rPr>
          <w:rFonts w:ascii="Times New Roman" w:hAnsi="Times New Roman"/>
          <w:b w:val="false"/>
          <w:i w:val="false"/>
          <w:color w:val="000000"/>
          <w:sz w:val="22"/>
        </w:rPr>
        <w:t xml:space="preserve"> topic should be presented by the local legal advisor. Links to Ethics training material are included in both Phase I and Phase II source selection training materials. The use of locally-developed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pPr>
        <w:pBdr>
          <w:top w:space="5"/>
          <w:left w:space="5"/>
          <w:bottom w:space="5"/>
          <w:right w:space="5"/>
        </w:pBdr>
        <w:spacing w:after="0"/>
        <w:ind w:left="585"/>
        <w:jc w:val="left"/>
      </w:pPr>
      <w:r>
        <w:rPr>
          <w:rFonts w:ascii="Times New Roman" w:hAnsi="Times New Roman"/>
          <w:b w:val="false"/>
          <w:i w:val="false"/>
          <w:color w:val="000000"/>
          <w:sz w:val="22"/>
        </w:rPr>
        <w:t>6.4.3 Advance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Effectiveness of the source selection training experience can be enhanced with advance preparation. The Defense Acquisition University (DAU) offers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continuous learning modules</w:t>
        </w:r>
      </w:hyperlink>
      <w:r>
        <w:rPr>
          <w:rFonts w:ascii="Times New Roman" w:hAnsi="Times New Roman"/>
          <w:b w:val="false"/>
          <w:i w:val="false"/>
          <w:color w:val="000000"/>
          <w:sz w:val="22"/>
        </w:rPr>
        <w:t xml:space="preserve"> on source selection and related topics. Some suggested DAU courses include the following:</w:t>
      </w:r>
    </w:p>
    <w:p>
      <w:pPr>
        <w:pBdr>
          <w:top w:space="5"/>
          <w:left w:space="5"/>
          <w:bottom w:space="5"/>
          <w:right w:space="5"/>
        </w:pBdr>
        <w:spacing w:after="0"/>
        <w:ind w:left="225"/>
        <w:jc w:val="left"/>
      </w:pP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004</w:t>
        </w:r>
      </w:hyperlink>
      <w:r>
        <w:rPr>
          <w:rFonts w:ascii="Times New Roman" w:hAnsi="Times New Roman"/>
          <w:b w:val="false"/>
          <w:i w:val="false"/>
          <w:color w:val="000000"/>
          <w:sz w:val="22"/>
        </w:rPr>
        <w:t xml:space="preserve"> - </w:t>
      </w:r>
      <w:r>
        <w:rPr>
          <w:rFonts w:ascii="Times New Roman" w:hAnsi="Times New Roman"/>
          <w:b w:val="false"/>
          <w:i/>
          <w:color w:val="000000"/>
          <w:sz w:val="22"/>
        </w:rPr>
        <w:t>Market Research</w:t>
      </w:r>
    </w:p>
    <w:p>
      <w:pPr>
        <w:pBdr>
          <w:top w:space="5"/>
          <w:left w:space="5"/>
          <w:bottom w:space="5"/>
          <w:right w:space="5"/>
        </w:pBdr>
        <w:spacing w:after="0"/>
        <w:ind w:left="225"/>
        <w:jc w:val="left"/>
      </w:pP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028</w:t>
        </w:r>
      </w:hyperlink>
      <w:r>
        <w:rPr>
          <w:rFonts w:ascii="Times New Roman" w:hAnsi="Times New Roman"/>
          <w:b w:val="false"/>
          <w:i w:val="false"/>
          <w:color w:val="000000"/>
          <w:sz w:val="22"/>
        </w:rPr>
        <w:t xml:space="preserve"> - </w:t>
      </w:r>
      <w:r>
        <w:rPr>
          <w:rFonts w:ascii="Times New Roman" w:hAnsi="Times New Roman"/>
          <w:b w:val="false"/>
          <w:i/>
          <w:color w:val="000000"/>
          <w:sz w:val="22"/>
          <w:u w:val="single"/>
        </w:rPr>
        <w:t>Past Performance Information</w:t>
      </w:r>
    </w:p>
    <w:p>
      <w:pPr>
        <w:pBdr>
          <w:top w:space="5"/>
          <w:left w:space="5"/>
          <w:bottom w:space="5"/>
          <w:right w:space="5"/>
        </w:pBdr>
        <w:spacing w:after="0"/>
        <w:ind w:left="225"/>
        <w:jc w:val="left"/>
      </w:pP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CLC 132</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Conflicts of Interest</w:t>
      </w:r>
    </w:p>
    <w:p>
      <w:pPr>
        <w:pBdr>
          <w:top w:space="5"/>
          <w:left w:space="5"/>
          <w:bottom w:space="5"/>
          <w:right w:space="5"/>
        </w:pBdr>
        <w:spacing w:after="0"/>
        <w:ind w:left="225"/>
        <w:jc w:val="left"/>
      </w:pP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CLM 049</w:t>
        </w:r>
      </w:hyperlink>
      <w:r>
        <w:rPr>
          <w:rFonts w:ascii="Times New Roman" w:hAnsi="Times New Roman"/>
          <w:b w:val="false"/>
          <w:i w:val="false"/>
          <w:color w:val="000000"/>
          <w:sz w:val="22"/>
        </w:rPr>
        <w:t xml:space="preserve"> - </w:t>
      </w:r>
      <w:r>
        <w:rPr>
          <w:rFonts w:ascii="Times New Roman" w:hAnsi="Times New Roman"/>
          <w:b w:val="false"/>
          <w:i/>
          <w:color w:val="000000"/>
          <w:sz w:val="22"/>
        </w:rPr>
        <w:t>Procurement Fraud Indicators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source_selection_training/SSA_SS_Training_Charts.pptx" Type="http://schemas.openxmlformats.org/officeDocument/2006/relationships/hyperlink" Id="rId4"/>
    <Relationship TargetMode="External" Target="https://usaf.dps.mil/sites/AFCC/KnowledgeCenter/source_selection_training/SSAC_SS_Training_Charts.pptx" Type="http://schemas.openxmlformats.org/officeDocument/2006/relationships/hyperlink" Id="rId5"/>
    <Relationship TargetMode="External" Target="https://icatalog.dau.edu/onlinecatalog/tabnavcl.aspx" Type="http://schemas.openxmlformats.org/officeDocument/2006/relationships/hyperlink" Id="rId6"/>
    <Relationship TargetMode="External" Target="https://icatalog.dau.edu/onlinecatalog/courses.aspx?crs_id=283" Type="http://schemas.openxmlformats.org/officeDocument/2006/relationships/hyperlink" Id="rId7"/>
    <Relationship TargetMode="External" Target="https://icatalog.dau.edu/onlinecatalog/courses.aspx?crs_id=247" Type="http://schemas.openxmlformats.org/officeDocument/2006/relationships/hyperlink" Id="rId8"/>
    <Relationship TargetMode="External" Target="https://icatalog.dau.edu/onlinecatalog/courses.aspx?crs_id=423" Type="http://schemas.openxmlformats.org/officeDocument/2006/relationships/hyperlink" Id="rId9"/>
    <Relationship TargetMode="External" Target="https://icatalog.dau.edu/onlinecatalog/courses.aspx?crs_id=1689"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