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**ID__AFFARS_MP5315_4_2__ID**</w:t>
      </w:r>
    </w:p>
    <w:p>
      <w:pPr>
        <w:pStyle w:val="Heading3"/>
        <w:spacing w:after="199"/>
        <w:ind w:left="120"/>
        <w:jc w:val="left"/>
      </w:pPr>
      <w:r>
        <w:rPr>
          <w:rFonts w:ascii="Times New Roman" w:hAnsi="Times New Roman"/>
          <w:color w:val="000000"/>
          <w:sz w:val="36"/>
        </w:rPr>
        <w:t>2.</w:t>
      </w:r>
      <w:r>
        <w:rPr>
          <w:rFonts w:ascii="Times New Roman" w:hAnsi="Times New Roman"/>
          <w:color w:val="000000"/>
          <w:sz w:val="36"/>
        </w:rPr>
        <w:t xml:space="preserve"> Requesting data/documentation after receipt of the proposal.</w:t>
      </w:r>
    </w:p>
    <w:p>
      <w:pPr>
        <w:pBdr>
          <w:top w:space="5"/>
          <w:left w:space="5"/>
          <w:bottom w:space="5"/>
          <w:right w:space="5"/>
        </w:pBdr>
        <w:spacing w:after="0"/>
        <w:ind w:left="225"/>
        <w:jc w:val="left"/>
      </w:pPr>
      <w:r>
        <w:rPr>
          <w:rFonts w:ascii="Times New Roman" w:hAnsi="Times New Roman"/>
          <w:b w:val="false"/>
          <w:i w:val="false"/>
          <w:color w:val="000000"/>
          <w:sz w:val="22"/>
        </w:rPr>
        <w:t>a. A contracting officer request for supporting data/documentation from a contractor (whether verbally or in writing) after proposal receipt, must clearly state what data/documentation is needed and when it should be provided.</w:t>
      </w:r>
    </w:p>
    <w:p>
      <w:pPr>
        <w:pBdr>
          <w:top w:space="5"/>
          <w:left w:space="5"/>
          <w:bottom w:space="5"/>
          <w:right w:space="5"/>
        </w:pBdr>
        <w:spacing w:after="0"/>
        <w:ind w:left="225"/>
        <w:jc w:val="left"/>
      </w:pPr>
      <w:r>
        <w:rPr>
          <w:rFonts w:ascii="Times New Roman" w:hAnsi="Times New Roman"/>
          <w:b w:val="false"/>
          <w:i w:val="false"/>
          <w:color w:val="000000"/>
          <w:sz w:val="22"/>
        </w:rP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Bdr>
          <w:top w:space="5"/>
          <w:left w:space="5"/>
          <w:bottom w:space="5"/>
          <w:right w:space="5"/>
        </w:pBdr>
        <w:spacing w:after="0"/>
        <w:ind w:left="225"/>
        <w:jc w:val="left"/>
      </w:pPr>
      <w:r>
        <w:rPr>
          <w:rFonts w:ascii="Times New Roman" w:hAnsi="Times New Roman"/>
          <w:b w:val="false"/>
          <w:i w:val="false"/>
          <w:color w:val="000000"/>
          <w:sz w:val="22"/>
        </w:rP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Bdr>
          <w:top w:space="5"/>
          <w:left w:space="5"/>
          <w:bottom w:space="5"/>
          <w:right w:space="5"/>
        </w:pBdr>
        <w:spacing w:after="0"/>
        <w:ind w:left="225"/>
        <w:jc w:val="left"/>
      </w:pPr>
      <w:r>
        <w:rPr>
          <w:rFonts w:ascii="Times New Roman" w:hAnsi="Times New Roman"/>
          <w:b w:val="false"/>
          <w:i w:val="false"/>
          <w:color w:val="000000"/>
          <w:sz w:val="22"/>
        </w:rP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 Box</w:t>
        </w:r>
      </w:hyperlink>
      <w:r>
        <w:rPr>
          <w:rFonts w:ascii="Times New Roman" w:hAnsi="Times New Roman"/>
          <w:b w:val="false"/>
          <w:i w:val="false"/>
          <w:color w:val="000000"/>
          <w:sz w:val="22"/>
        </w:rPr>
        <w:t xml:space="preserve"> for the recommended elevation process, as well as other streamlining techniques.</w:t>
      </w:r>
    </w:p>
    <w:p>
      <w:pPr>
        <w:pBdr>
          <w:top w:space="5"/>
          <w:left w:space="5"/>
          <w:bottom w:space="5"/>
          <w:right w:space="5"/>
        </w:pBdr>
        <w:spacing w:after="0"/>
        <w:ind w:left="225"/>
        <w:jc w:val="left"/>
      </w:pPr>
      <w:r>
        <w:rPr>
          <w:rFonts w:ascii="Times New Roman" w:hAnsi="Times New Roman"/>
          <w:b w:val="false"/>
          <w:i w:val="false"/>
          <w:color w:val="000000"/>
          <w:sz w:val="22"/>
        </w:rPr>
        <w:t>e. If, after elevation, an acceptable resolution has not occurred or the contractor fails to provide the data/documentation within the revised agreed-to date, the contracting officer may take remedial actions:</w:t>
      </w:r>
    </w:p>
    <w:p>
      <w:pPr>
        <w:pBdr>
          <w:top w:space="5"/>
          <w:left w:space="5"/>
          <w:bottom w:space="5"/>
          <w:right w:space="5"/>
        </w:pBdr>
        <w:spacing w:after="0"/>
        <w:ind w:left="585"/>
        <w:jc w:val="left"/>
      </w:pPr>
      <w:r>
        <w:rPr>
          <w:rFonts w:ascii="Times New Roman" w:hAnsi="Times New Roman"/>
          <w:b w:val="false"/>
          <w:i w:val="false"/>
          <w:color w:val="000000"/>
          <w:sz w:val="22"/>
        </w:rPr>
        <w:t>• for UCAs, contracting officers should consider reducing or suspending progress payments (FAR 32.503-6) when the contractor does not submit a timely qualifying proposal or has otherwise not supported the established definitization schedule; and/or</w:t>
      </w:r>
    </w:p>
    <w:p>
      <w:pPr>
        <w:pBdr>
          <w:top w:space="5"/>
          <w:left w:space="5"/>
          <w:bottom w:space="5"/>
          <w:right w:space="5"/>
        </w:pBdr>
        <w:spacing w:after="0"/>
        <w:ind w:left="585"/>
        <w:jc w:val="left"/>
      </w:pPr>
      <w:r>
        <w:rPr>
          <w:rFonts w:ascii="Times New Roman" w:hAnsi="Times New Roman"/>
          <w:b w:val="false"/>
          <w:i w:val="false"/>
          <w:color w:val="000000"/>
          <w:sz w:val="22"/>
        </w:rPr>
        <w:t>• 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42.1503(h)(4).</w:t>
      </w:r>
    </w:p>
    <w:p>
      <w:pPr>
        <w:pBdr>
          <w:top w:space="5"/>
          <w:left w:space="5"/>
          <w:bottom w:space="5"/>
          <w:right w:space="5"/>
        </w:pBdr>
        <w:spacing w:after="0"/>
        <w:ind w:left="225"/>
        <w:jc w:val="left"/>
      </w:pPr>
      <w:r>
        <w:rPr>
          <w:rFonts w:ascii="Times New Roman" w:hAnsi="Times New Roman"/>
          <w:b w:val="false"/>
          <w:i w:val="false"/>
          <w:color w:val="000000"/>
          <w:sz w:val="22"/>
        </w:rPr>
        <w:t xml:space="preserve">f. Consistent with the notice given to contractors in the provision </w:t>
      </w:r>
      <w:r>
        <w:rPr>
          <w:rFonts w:ascii="Times New Roman" w:hAnsi="Times New Roman"/>
          <w:b w:val="false"/>
          <w:i w:val="false"/>
          <w:color w:val="000000"/>
          <w:sz w:val="22"/>
          <w:u w:val="single"/>
        </w:rPr>
        <w:t>L-XXX, Cost Proposal Adequacy and Structure</w:t>
      </w:r>
      <w:r>
        <w:rPr>
          <w:rFonts w:ascii="Times New Roman" w:hAnsi="Times New Roman"/>
          <w:b w:val="false"/>
          <w:i w:val="false"/>
          <w:color w:val="000000"/>
          <w:sz w:val="22"/>
        </w:rPr>
        <w:t xml:space="preserve"> ,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dau.mil/tools/t/DoD-Sole-Source-Streamlining-Toolbo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