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**ID__AFFARS_mp_5315_606_90_topic_1__ID**</w:t>
      </w:r>
      <w:r>
        <w:rPr>
          <w:rFonts w:ascii="Times New Roman" w:hAnsi="Times New Roman"/>
          <w:b w:val="false"/>
          <w:i w:val="false"/>
          <w:color w:val="000000"/>
          <w:sz w:val="22"/>
        </w:rPr>
        <w:t xml:space="preserve"> </w:t>
      </w:r>
    </w:p>
    <w:p>
      <w:pPr>
        <w:pStyle w:val="Heading2"/>
        <w:spacing w:after="180"/>
        <w:ind w:left="120"/>
        <w:jc w:val="left"/>
      </w:pPr>
      <w:r>
        <w:rPr>
          <w:rFonts w:ascii="Times New Roman" w:hAnsi="Times New Roman"/>
          <w:color w:val="000000"/>
          <w:sz w:val="48"/>
        </w:rPr>
        <w:t>MP5315.606-90</w:t>
      </w:r>
      <w:r>
        <w:rPr>
          <w:rFonts w:ascii="Times New Roman" w:hAnsi="Times New Roman"/>
          <w:color w:val="000000"/>
          <w:sz w:val="48"/>
        </w:rPr>
        <w:t xml:space="preserve"> Receipt, Evaluation, and Disposition of Unsolicited Proposals</w:t>
      </w:r>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Unsolicited proposals (UP) are defined at </w:t>
      </w:r>
      <w:r>
        <w:rPr>
          <w:rFonts w:ascii="Times New Roman" w:hAnsi="Times New Roman"/>
          <w:b w:val="false"/>
          <w:i w:val="false"/>
          <w:color w:val="000000"/>
          <w:sz w:val="22"/>
          <w:u w:val="single"/>
        </w:rPr>
        <w:t>FAR 2.101</w:t>
      </w:r>
      <w:r>
        <w:rPr>
          <w:rFonts w:ascii="Times New Roman" w:hAnsi="Times New Roman"/>
          <w:b w:val="false"/>
          <w:i w:val="false"/>
          <w:color w:val="000000"/>
          <w:sz w:val="22"/>
        </w:rPr>
        <w:t xml:space="preserve"> and described in </w:t>
      </w:r>
      <w:r>
        <w:rPr>
          <w:rFonts w:ascii="Times New Roman" w:hAnsi="Times New Roman"/>
          <w:b w:val="false"/>
          <w:i w:val="false"/>
          <w:color w:val="000000"/>
          <w:sz w:val="22"/>
          <w:u w:val="single"/>
        </w:rPr>
        <w:t>FAR 15.603(c)</w:t>
      </w:r>
      <w:r>
        <w:rPr>
          <w:rFonts w:ascii="Times New Roman" w:hAnsi="Times New Roman"/>
          <w:b w:val="false"/>
          <w:i w:val="false"/>
          <w:color w:val="000000"/>
          <w:sz w:val="22"/>
        </w:rPr>
        <w:t xml:space="preserve"> MAJCOMs/DRUs/AFRCO/SMC and subordinate contracting units are considered to be the cognizant points of contact for ensuring evaluation and disposition of a UP which is received at their respective base/activity.</w:t>
      </w:r>
      <w:r>
        <w:rPr>
          <w:rFonts w:ascii="Times New Roman" w:hAnsi="Times New Roman"/>
          <w:b w:val="false"/>
          <w:i w:val="false"/>
          <w:color w:val="000000"/>
          <w:sz w:val="22"/>
        </w:rPr>
        <w:t xml:space="preserve">Organizations that are part of the Headquarters Air Force (HAF) that receive a submission that is considered a UP must forward it to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SAF/AQC</w:t>
        </w:r>
      </w:hyperlink>
      <w:r>
        <w:rPr>
          <w:rFonts w:ascii="Times New Roman" w:hAnsi="Times New Roman"/>
          <w:b w:val="false"/>
          <w:i w:val="false"/>
          <w:color w:val="000000"/>
          <w:sz w:val="22"/>
        </w:rPr>
        <w:t xml:space="preserve"> for assignment to the proper Air Force MAJCOM/DRU/AFRCO/SMC contracting unit cognizant point of contact.</w:t>
      </w:r>
    </w:p>
    <w:p>
      <w:pPr>
        <w:pBdr>
          <w:top w:space="5"/>
          <w:left w:space="5"/>
          <w:bottom w:space="5"/>
          <w:right w:space="5"/>
        </w:pBdr>
        <w:spacing w:after="0"/>
        <w:ind w:left="225"/>
        <w:jc w:val="left"/>
      </w:pPr>
      <w:r>
        <w:rPr>
          <w:rFonts w:ascii="Times New Roman" w:hAnsi="Times New Roman"/>
          <w:b w:val="false"/>
          <w:i w:val="false"/>
          <w:color w:val="000000"/>
          <w:sz w:val="22"/>
        </w:rPr>
        <w:t>(b) Cognizant points of contact:</w:t>
      </w:r>
    </w:p>
    <w:p>
      <w:pPr>
        <w:pBdr>
          <w:top w:space="5"/>
          <w:left w:space="5"/>
          <w:bottom w:space="5"/>
          <w:right w:space="5"/>
        </w:pBdr>
        <w:spacing w:after="0"/>
        <w:ind w:left="585"/>
        <w:jc w:val="left"/>
      </w:pPr>
      <w:r>
        <w:rPr>
          <w:rFonts w:ascii="Times New Roman" w:hAnsi="Times New Roman"/>
          <w:b w:val="false"/>
          <w:i w:val="false"/>
          <w:color w:val="000000"/>
          <w:sz w:val="22"/>
        </w:rPr>
        <w:t xml:space="preserve">(1) Coordinate and process UPs. Use a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cover sheet</w:t>
        </w:r>
      </w:hyperlink>
      <w:r>
        <w:rPr>
          <w:rFonts w:ascii="Times New Roman" w:hAnsi="Times New Roman"/>
          <w:b w:val="false"/>
          <w:i w:val="false"/>
          <w:color w:val="000000"/>
          <w:sz w:val="22"/>
        </w:rPr>
        <w:t xml:space="preserve"> to help protect the UP from unauthorized disclosure.</w:t>
      </w:r>
    </w:p>
    <w:p>
      <w:pPr>
        <w:pBdr>
          <w:top w:space="5"/>
          <w:left w:space="5"/>
          <w:bottom w:space="5"/>
          <w:right w:space="5"/>
        </w:pBdr>
        <w:spacing w:after="0"/>
        <w:ind w:left="585"/>
        <w:jc w:val="left"/>
      </w:pPr>
      <w:r>
        <w:rPr>
          <w:rFonts w:ascii="Times New Roman" w:hAnsi="Times New Roman"/>
          <w:b w:val="false"/>
          <w:i w:val="false"/>
          <w:color w:val="000000"/>
          <w:sz w:val="22"/>
        </w:rPr>
        <w:t>(2) Notify the SCO for any UP that requires wider Air Force consideration.</w:t>
      </w:r>
    </w:p>
    <w:p>
      <w:pPr>
        <w:pBdr>
          <w:top w:space="5"/>
          <w:left w:space="5"/>
          <w:bottom w:space="5"/>
          <w:right w:space="5"/>
        </w:pBdr>
        <w:spacing w:after="0"/>
        <w:ind w:left="585"/>
        <w:jc w:val="left"/>
      </w:pPr>
      <w:r>
        <w:rPr>
          <w:rFonts w:ascii="Times New Roman" w:hAnsi="Times New Roman"/>
          <w:b w:val="false"/>
          <w:i w:val="false"/>
          <w:color w:val="000000"/>
          <w:sz w:val="22"/>
        </w:rPr>
        <w:t>(3) Maintain an accurate and complete record of the disposition of all UPs received.</w:t>
      </w:r>
    </w:p>
    <w:p>
      <w:pPr>
        <w:pBdr>
          <w:top w:space="5"/>
          <w:left w:space="5"/>
          <w:bottom w:space="5"/>
          <w:right w:space="5"/>
        </w:pBdr>
        <w:spacing w:after="0"/>
        <w:ind w:left="585"/>
        <w:jc w:val="left"/>
      </w:pPr>
      <w:r>
        <w:rPr>
          <w:rFonts w:ascii="Times New Roman" w:hAnsi="Times New Roman"/>
          <w:b w:val="false"/>
          <w:i w:val="false"/>
          <w:color w:val="000000"/>
          <w:sz w:val="22"/>
        </w:rPr>
        <w:t>(4) Ensure the appropriate evaluation office is aware of the FAR guidance for evaluating UPs and the prohibitions and rules regarding copying, disclosing, and using restricted data contained in the proposal. Limit the distribution of UPs to the appropriate number of evaluators required to conduct a reasonable review. Maintain a record of the evaluators for each UP and the dates of their evaluation.</w:t>
      </w:r>
    </w:p>
    <w:p>
      <w:pPr>
        <w:pBdr>
          <w:top w:space="5"/>
          <w:left w:space="5"/>
          <w:bottom w:space="5"/>
          <w:right w:space="5"/>
        </w:pBdr>
        <w:spacing w:after="0"/>
        <w:ind w:left="585"/>
        <w:jc w:val="left"/>
      </w:pPr>
      <w:r>
        <w:rPr>
          <w:rFonts w:ascii="Times New Roman" w:hAnsi="Times New Roman"/>
          <w:b w:val="false"/>
          <w:i w:val="false"/>
          <w:color w:val="000000"/>
          <w:sz w:val="22"/>
        </w:rPr>
        <w:t>(5) Ensure evaluators provide supporting rationale for their conclusions and recommendations. If the recommendation is to accept the UP, ensure evaluators indicate whether funds are currently available or programmed.</w:t>
      </w:r>
    </w:p>
    <w:p>
      <w:pPr>
        <w:pBdr>
          <w:top w:space="5"/>
          <w:left w:space="5"/>
          <w:bottom w:space="5"/>
          <w:right w:space="5"/>
        </w:pBdr>
        <w:spacing w:after="0"/>
        <w:ind w:left="585"/>
        <w:jc w:val="left"/>
      </w:pPr>
      <w:r>
        <w:rPr>
          <w:rFonts w:ascii="Times New Roman" w:hAnsi="Times New Roman"/>
          <w:b w:val="false"/>
          <w:i w:val="false"/>
          <w:color w:val="000000"/>
          <w:sz w:val="22"/>
        </w:rPr>
        <w:t>(6) Notify the offeror concerning results of the evaluation within 30 working days from receipt of the UP. When the evaluation cannot be completed within 30 working days, send the offeror an interim reply to include an estimated completion date.</w:t>
      </w:r>
    </w:p>
    <w:p>
      <w:pPr>
        <w:pBdr>
          <w:top w:space="5"/>
          <w:left w:space="5"/>
          <w:bottom w:space="5"/>
          <w:right w:space="5"/>
        </w:pBdr>
        <w:spacing w:after="0"/>
        <w:ind w:left="585"/>
        <w:jc w:val="left"/>
      </w:pPr>
      <w:r>
        <w:rPr>
          <w:rFonts w:ascii="Times New Roman" w:hAnsi="Times New Roman"/>
          <w:b w:val="false"/>
          <w:i w:val="false"/>
          <w:color w:val="000000"/>
          <w:sz w:val="22"/>
        </w:rPr>
        <w:t>(7) Advise the offeror that the favorable evaluation does not, in itself, contractually bind the government.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mailto:SAF.AQ.SAF-AQC.Workflow@us.af.mil" Type="http://schemas.openxmlformats.org/officeDocument/2006/relationships/hyperlink" Id="rId4"/>
    <Relationship TargetMode="External" Target="https://usaf.dps.mil/sites/AFCC/KnowledgeCenter/contracting_templates/unsolicited_proposal_cover.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