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**ID__AFFARS_mp_5349_topic_3__ID**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MP 5349.501-70</w:t>
      </w:r>
      <w:r>
        <w:rPr>
          <w:rFonts w:ascii="Times New Roman" w:hAnsi="Times New Roman"/>
          <w:color w:val="000000"/>
          <w:sz w:val="31"/>
        </w:rPr>
        <w:t xml:space="preserve"> Special Termination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must refer to Volume 2A, Chapter 1, Section 010214, paragraph C.2.a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7000.14-R, DoD Financial Management Regulation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for Congressional notification and additional approval requirements for Special Termination Cost Clauses (STCC). Because STCCs require special notification to Congress and entail a long approval process over which the Air Force has little control, the contracting officer should allow SAF/AQC sufficient time to process requests to use DFARS 252.249-7000, Special Termination Costs (i.e., not less than 90 days prior to contract award). The request must include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 detailed breakdown of applicable cost categories in the clause at DFARS 252.249-7000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(a)(1) through (5), which includes the reasons for the anticipated incurrence of the costs in each category;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Information on the financial and program need for the clause including an assessment of the contractor's financial position and the impact of a failure to receive authority to use the clause;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Clear evidence that only costs that arise directly from a termination would be compensated under the clause. Costs that would be incurred by the Government, regardless of whether a termination occurs, must not be covered by a STCC.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comptroller.defense.gov/FMR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