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**ID__AFFARS_5306_302_4__ID**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5306.302-4</w:t>
      </w:r>
      <w:r>
        <w:rPr>
          <w:rFonts w:ascii="Times New Roman" w:hAnsi="Times New Roman"/>
          <w:color w:val="000000"/>
          <w:sz w:val="31"/>
        </w:rPr>
        <w:t xml:space="preserve"> International Agreement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Limitations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The document referred to in DFARS 206.302-4(c) must be titled, “</w:t>
      </w:r>
      <w:r>
        <w:rPr>
          <w:rFonts w:ascii="Times New Roman" w:hAnsi="Times New Roman"/>
          <w:b w:val="false"/>
          <w:i/>
          <w:color w:val="000000"/>
          <w:sz w:val="22"/>
        </w:rPr>
        <w:t>International Agreement Competitive Restrictions (IACR)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.” The authority to prepare an IACR is delegated from the HCA to the contracting officer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 The contracting officer must include the IACR and a copy of the associated </w:t>
      </w:r>
      <w:r>
        <w:rPr>
          <w:rFonts w:ascii="Times New Roman" w:hAnsi="Times New Roman"/>
          <w:b w:val="false"/>
          <w:i/>
          <w:color w:val="000000"/>
          <w:sz w:val="22"/>
        </w:rPr>
        <w:t>Letter of Offer and Acceptance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once completed, in the contract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5306.302-4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AF_PGI_5306_302_4.dita#AFFARS_AF_PGI_5306_302_4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