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**ID__AFFARS_5306_topic_9__ID**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5306.303-1-90</w:t>
      </w:r>
      <w:r>
        <w:rPr>
          <w:rFonts w:ascii="Times New Roman" w:hAnsi="Times New Roman"/>
          <w:color w:val="000000"/>
          <w:sz w:val="31"/>
        </w:rPr>
        <w:t xml:space="preserve"> Bridge Actions for Service Contracts Only (See DoDI 5000.74)</w:t>
      </w:r>
    </w:p>
    <w:p>
      <w:pPr>
        <w:pBdr>
          <w:top w:space="5"/>
          <w:left w:space="5"/>
          <w:bottom w:space="5"/>
          <w:right w:space="5"/>
        </w:pBdr>
        <w:spacing w:after="0"/>
        <w:ind w:left="225"/>
        <w:jc w:val="left"/>
      </w:pPr>
      <w:r>
        <w:rPr>
          <w:rFonts w:ascii="Times New Roman" w:hAnsi="Times New Roman"/>
          <w:b w:val="false"/>
          <w:i w:val="false"/>
          <w:color w:val="000000"/>
          <w:sz w:val="22"/>
        </w:rPr>
        <w:t xml:space="preserve">(a) All service contract actions that meet the definition of a bridge action at </w:t>
      </w:r>
      <w:hyperlink r:id="rId4">
        <w:r>
          <w:rPr>
            <w:rStyle w:val="Hyperlink"/>
            <w:rFonts w:ascii="Times New Roman" w:hAnsi="Times New Roman"/>
            <w:b w:val="false"/>
            <w:i w:val="false"/>
            <w:color w:val="0000ff"/>
            <w:sz w:val="22"/>
            <w:u w:val="single"/>
          </w:rPr>
          <w:t>AFFARS 5302.101</w:t>
        </w:r>
      </w:hyperlink>
      <w:r>
        <w:rPr>
          <w:rFonts w:ascii="Times New Roman" w:hAnsi="Times New Roman"/>
          <w:b w:val="false"/>
          <w:i w:val="false"/>
          <w:color w:val="000000"/>
          <w:sz w:val="22"/>
        </w:rPr>
        <w:t xml:space="preserve"> require a written, approved J&amp;A document in accordance with </w:t>
      </w:r>
      <w:hyperlink r:id="rId5">
        <w:r>
          <w:rPr>
            <w:rStyle w:val="Hyperlink"/>
            <w:rFonts w:ascii="Times New Roman" w:hAnsi="Times New Roman"/>
            <w:b w:val="false"/>
            <w:i w:val="false"/>
            <w:color w:val="0000ff"/>
            <w:sz w:val="22"/>
            <w:u w:val="single"/>
          </w:rPr>
          <w:t>5306.304(a)</w:t>
        </w:r>
      </w:hyperlink>
      <w:r>
        <w:rPr>
          <w:rFonts w:ascii="Times New Roman" w:hAnsi="Times New Roman"/>
          <w:b w:val="false"/>
          <w:i w:val="false"/>
          <w:color w:val="000000"/>
          <w:sz w:val="22"/>
        </w:rPr>
        <w:t xml:space="preserve"> . All bridge action J&amp;As shall be identified as a “bridge action J&amp;A” as indicated in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J&amp;A Template</w:t>
        </w:r>
      </w:hyperlink>
      <w:r>
        <w:rPr>
          <w:rFonts w:ascii="Times New Roman" w:hAnsi="Times New Roman"/>
          <w:b w:val="false"/>
          <w:i w:val="false"/>
          <w:color w:val="000000"/>
          <w:sz w:val="22"/>
        </w:rPr>
        <w:t>. A modification for the extension of services, executed in accordance with FAR clause 52.217-8, Option to Extend Services, is not considered a bridge action unless or until the total six month extension period allowed by the clause is exceeded.</w:t>
      </w:r>
    </w:p>
    <w:p>
      <w:pPr>
        <w:pBdr>
          <w:top w:space="5"/>
          <w:left w:space="5"/>
          <w:bottom w:space="5"/>
          <w:right w:space="5"/>
        </w:pBdr>
        <w:spacing w:after="0"/>
        <w:ind w:left="225"/>
        <w:jc w:val="left"/>
      </w:pPr>
      <w:r>
        <w:rPr>
          <w:rFonts w:ascii="Times New Roman" w:hAnsi="Times New Roman"/>
          <w:b w:val="false"/>
          <w:i w:val="false"/>
          <w:color w:val="000000"/>
          <w:sz w:val="22"/>
        </w:rPr>
        <w:t>(b) 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will:(1) For a services contract in an amount less than $10 million, provide an update on the status of the bridge contract (including the rationale for using the bridge contract) to the requiring activity’s PEO, Flag Officer, or civilian equivalent, as applicable; or</w:t>
      </w:r>
    </w:p>
    <w:p>
      <w:pPr>
        <w:pBdr>
          <w:top w:space="5"/>
          <w:left w:space="5"/>
          <w:bottom w:space="5"/>
          <w:right w:space="5"/>
        </w:pBdr>
        <w:spacing w:after="0"/>
        <w:ind w:left="585"/>
        <w:jc w:val="left"/>
      </w:pPr>
      <w:r>
        <w:rPr>
          <w:rFonts w:ascii="Times New Roman" w:hAnsi="Times New Roman"/>
          <w:b w:val="false"/>
          <w:i w:val="false"/>
          <w:color w:val="000000"/>
          <w:sz w:val="22"/>
        </w:rPr>
        <w:t>(2) For a services contract in an amount equal to or greater than $10 million, provide an update on the status of the bridge contract (including the rationale for using the bridge contract)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 copy of the signed J&amp;A and transmittal document or email to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2_101.dita#AFFARS_5302_topic_3" Type="http://schemas.openxmlformats.org/officeDocument/2006/relationships/hyperlink" Id="rId4"/>
    <Relationship TargetMode="External" Target="5306_304.dita#AFFARS_5306_topic_11" Type="http://schemas.openxmlformats.org/officeDocument/2006/relationships/hyperlink" Id="rId5"/>
    <Relationship TargetMode="External" Target="https://usaf.dps.mil/sites/AFCC/KnowledgeCenter/contracting_templates/justification_and_approval_document.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