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29" w:id="0"/>
      <w:r>
        <w:rPr>
          <w:rFonts w:ascii="Times New Roman" w:hAnsi="Times New Roman"/>
          <w:color w:val="000000"/>
          <w:sz w:val="48"/>
        </w:rPr>
        <w:t>PART 5329</w:t>
      </w:r>
      <w:r>
        <w:rPr>
          <w:rFonts w:ascii="Times New Roman" w:hAnsi="Times New Roman"/>
          <w:color w:val="000000"/>
          <w:sz w:val="48"/>
        </w:rPr>
        <w:t xml:space="preserve"> – Taxes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2e8bc1ac3f03496a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5329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Reserved</w:t>
      </w:r>
    </w:p>
    <w:sectPr>
      <w:pgSz w:w="12240" w:h="15840" w:code="1"/>
      <w:pgMar w:top="1440" w:right="1440" w:bottom="1440" w:left="1440"/>
      <w:pgNumType w:start="1"/>
      <w:footerReference w:type="default" r:id="R7beea0164a4845ca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7beea0164a4845ca" /><Relationship Type="http://schemas.openxmlformats.org/officeDocument/2006/relationships/hyperlink" Target="https://usaf.dps.mil/sites/AFCC/KnowledgeCenter/Pages/5329.aspx" TargetMode="External" Id="R2e8bc1ac3f03496a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