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30" w:id="0"/>
      <w:r>
        <w:rPr>
          <w:rFonts w:ascii="Times New Roman" w:hAnsi="Times New Roman"/>
          <w:color w:val="000000"/>
          <w:sz w:val="48"/>
        </w:rPr>
        <w:t>PART 5330</w:t>
      </w:r>
      <w:r>
        <w:rPr>
          <w:rFonts w:ascii="Times New Roman" w:hAnsi="Times New Roman"/>
          <w:color w:val="000000"/>
          <w:sz w:val="48"/>
        </w:rPr>
        <w:t xml:space="preserve"> - Cost Accounting Standards Administration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8c7b080cb7f4427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5330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 2 May 2022</w:t>
      </w:r>
    </w:p>
    <w:p>
      <w:pPr>
        <w:spacing w:after="0"/>
        <w:jc w:val="left"/>
        <w:ind w:left="720" w:hanging="360"/>
      </w:pPr>
      <w:hyperlink w:anchor="AFFARS_5330_201_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5330.201-5 Waivers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left"/>
      </w:pPr>
      <w:bookmarkStart w:name="AFFARS_5330_201_5" w:id="1"/>
      <w:r>
        <w:rPr>
          <w:rFonts w:ascii="Times New Roman" w:hAnsi="Times New Roman"/>
          <w:color w:val="000000"/>
          <w:sz w:val="36"/>
        </w:rPr>
        <w:t>5330.201-5</w:t>
      </w:r>
      <w:r>
        <w:rPr>
          <w:rFonts w:ascii="Times New Roman" w:hAnsi="Times New Roman"/>
          <w:color w:val="000000"/>
          <w:sz w:val="36"/>
        </w:rPr>
        <w:t xml:space="preserve"> Waivers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(a)(2) The DAS(C)/ADAS(C) is the CAS waiver authority. Submit CAS waiver requests through the SCO to </w:t>
      </w:r>
      <w:hyperlink r:id="Rd250934a29a1489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OUSD(A&amp;S)/DPC review and SAF/AQC approval, no later than 45 days before the anticipated contract award. Waiver requests must include all items listed in FAR 30.201-5(c)</w:t>
      </w:r>
      <w:r>
        <w:rPr>
          <w:rFonts w:ascii="Times New Roman" w:hAnsi="Times New Roman"/>
          <w:b w:val="false"/>
          <w:i w:val="false"/>
          <w:color w:val="000000"/>
          <w:sz w:val="22"/>
        </w:rPr>
        <w:t>and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,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exceptional case CAS waivers, also address the items at DFARS PGI 230.201-5(e), and include the determination required by DFARS 230.201-5(a)(1)(A)(2)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.</w:t>
      </w:r>
    </w:p>
    <w:sectPr>
      <w:pgSz w:w="12240" w:h="15840" w:code="1"/>
      <w:pgMar w:top="1440" w:right="1440" w:bottom="1440" w:left="1440"/>
      <w:pgNumType w:start="1"/>
      <w:footerReference w:type="default" r:id="Rf45e3540887a4105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f45e3540887a4105" /><Relationship Type="http://schemas.openxmlformats.org/officeDocument/2006/relationships/hyperlink" Target="https://usaf.dps.mil/sites/AFCC/KnowledgeCenter/Pages/5330.aspx" TargetMode="External" Id="R8c7b080cb7f44274" /><Relationship Type="http://schemas.openxmlformats.org/officeDocument/2006/relationships/hyperlink" Target="5330_201_5.dita#AFFARS_5330_201_5" TargetMode="External" Id="R9ae4bcd7597748d2" /><Relationship Type="http://schemas.openxmlformats.org/officeDocument/2006/relationships/hyperlink" Target="mailto:SAF.AQ.SAF-AQC.Workflow@us.af.mil" TargetMode="External" Id="Rd250934a29a14894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