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1" w:id="0"/>
      <w:r>
        <w:rPr>
          <w:rFonts w:ascii="Times New Roman" w:hAnsi="Times New Roman"/>
          <w:color w:val="000000"/>
          <w:sz w:val="48"/>
        </w:rPr>
        <w:t>PART 5331</w:t>
      </w:r>
      <w:r>
        <w:rPr>
          <w:rFonts w:ascii="Times New Roman" w:hAnsi="Times New Roman"/>
          <w:color w:val="000000"/>
          <w:sz w:val="48"/>
        </w:rPr>
        <w:t xml:space="preserve"> - Contract Cost Principles and Procedures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0c3a41fb10484bb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16e44d6931394ec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Class Deviation 2011-O0006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9af92d0244a44c4e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af92d0244a44c4e" /><Relationship Type="http://schemas.openxmlformats.org/officeDocument/2006/relationships/hyperlink" Target="https://usaf.dps.mil/sites/AFCC/KnowledgeCenter/Pages/5331.aspx" TargetMode="External" Id="R0c3a41fb10484bb7" /><Relationship Type="http://schemas.openxmlformats.org/officeDocument/2006/relationships/hyperlink" Target="http://www.acq.osd.mil/dpap/policy/policyvault/USA001350-11-DPAP.pdf" TargetMode="External" Id="R16e44d6931394ecb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