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12" w:id="0"/>
      <w:r>
        <w:rPr>
          <w:rFonts w:ascii="Times New Roman" w:hAnsi="Times New Roman"/>
          <w:color w:val="000000"/>
          <w:sz w:val="48"/>
        </w:rPr>
        <w:t>Part 5312</w:t>
      </w:r>
      <w:r>
        <w:rPr>
          <w:rFonts w:ascii="Times New Roman" w:hAnsi="Times New Roman"/>
          <w:color w:val="000000"/>
          <w:sz w:val="48"/>
        </w:rPr>
        <w:t xml:space="preserve"> - Acquisition of Commercial Items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0d11c6fdbdfb4d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color w:val="0000FF"/>
        </w:rPr>
        <w:t xml:space="preserve">INTERIM CHANGE</w:t>
      </w:r>
      <w:r>
        <w:t xml:space="preserve">: See Policy Memo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18-C-03</w:t>
      </w:r>
    </w:p>
    <w:p>
      <w:pPr>
        <w:spacing w:after="0"/>
        <w:jc w:val="left"/>
        <w:ind w:left="720" w:hanging="360"/>
      </w:pPr>
      <w:hyperlink w:anchor="AFFARS_SUBPART_5312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5312.1 - ACQUISITION OF COMMERCIAL ITEMS - GENERAL</w:t>
        </w:r>
      </w:hyperlink>
    </w:p>
    <w:p>
      <w:pPr>
        <w:spacing w:after="0"/>
        <w:jc w:val="left"/>
        <w:ind w:left="1440" w:hanging="360"/>
      </w:pPr>
      <w:hyperlink w:anchor="AFFARS_5312_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5312.102 Applicability</w:t>
        </w:r>
      </w:hyperlink>
    </w:p>
    <w:p>
      <w:pPr>
        <w:spacing w:after="0"/>
        <w:jc w:val="left"/>
        <w:ind w:left="720" w:hanging="360"/>
      </w:pPr>
      <w:hyperlink w:anchor="AFFARS_SUBPART_5312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5312.2 - SPECIAL REQUIREMENTS FOR THE ACQUISITION OF COMMERCIAL ITEMS</w:t>
        </w:r>
      </w:hyperlink>
    </w:p>
    <w:p>
      <w:pPr>
        <w:spacing w:after="0"/>
        <w:jc w:val="left"/>
        <w:ind w:left="1440" w:hanging="360"/>
      </w:pPr>
      <w:hyperlink w:anchor="AFFARS_5312_2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5312.207 Contract Type</w:t>
        </w:r>
      </w:hyperlink>
    </w:p>
    <w:p>
      <w:pPr>
        <w:spacing w:after="0"/>
        <w:jc w:val="left"/>
        <w:ind w:left="1440" w:hanging="360"/>
      </w:pPr>
      <w:hyperlink w:anchor="AFFARS_5312_27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5312.272 Preference for Certain Commercial Products and Services</w:t>
        </w:r>
      </w:hyperlink>
    </w:p>
    <w:p>
      <w:pPr>
        <w:spacing w:after="0"/>
        <w:jc w:val="left"/>
        <w:ind w:left="720" w:hanging="360"/>
      </w:pPr>
      <w:hyperlink w:anchor="AFFARS_SUBPART_5312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5312.3 - SOLICITATION PROVISIONS AND CONTRACT CLAUSES FOR THE ACQUISITION OF COMMERCIAL ITEMS</w:t>
        </w:r>
      </w:hyperlink>
    </w:p>
    <w:p>
      <w:pPr>
        <w:spacing w:after="0"/>
        <w:jc w:val="left"/>
        <w:ind w:left="1440" w:hanging="360"/>
      </w:pPr>
      <w:hyperlink w:anchor="AFFARS_5312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5312.302 Tailoring of Provisions and Clauses for the Acquisition of Commercial Items</w:t>
        </w:r>
      </w:hyperlink>
    </w:p>
    <w:p>
      <w:pPr>
        <w:spacing w:after="0"/>
        <w:jc w:val="left"/>
        <w:ind w:left="720" w:hanging="360"/>
      </w:pPr>
      <w:hyperlink w:anchor="AFFARS_SUBPART_5312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5312.4 - UNIQUE REQUIREMENTS REGARDING TERMS AND CONDITIONS FOR COMMERCIAL ITEMS</w:t>
        </w:r>
      </w:hyperlink>
    </w:p>
    <w:p>
      <w:pPr>
        <w:spacing w:after="0"/>
        <w:jc w:val="left"/>
        <w:ind w:left="1440" w:hanging="360"/>
      </w:pPr>
      <w:hyperlink w:anchor="AFFARS_5312_4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5312.403 Termination</w:t>
        </w:r>
      </w:hyperlink>
    </w:p>
    <w:p>
      <w:pPr>
        <w:spacing w:after="0"/>
        <w:jc w:val="left"/>
        <w:ind w:left="720" w:hanging="360"/>
      </w:pPr>
      <w:hyperlink w:anchor="AFFARS_SUBPART_5312_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5312.90 - PILOT PROGRAM FOR DEFENSE COMMERCIAL SOLUTIONS OPENING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2_1" w:id="1"/>
      <w:r>
        <w:rPr>
          <w:rFonts w:ascii="Times New Roman" w:hAnsi="Times New Roman"/>
          <w:color w:val="000000"/>
          <w:sz w:val="36"/>
        </w:rPr>
        <w:t>Subpart 5312.1</w:t>
      </w:r>
      <w:r>
        <w:rPr>
          <w:rFonts w:ascii="Times New Roman" w:hAnsi="Times New Roman"/>
          <w:color w:val="000000"/>
          <w:sz w:val="36"/>
        </w:rPr>
        <w:t xml:space="preserve"> - ACQUISITION OF COMMERCIAL ITEMS -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2_102" w:id="2"/>
      <w:r>
        <w:rPr>
          <w:rFonts w:ascii="Times New Roman" w:hAnsi="Times New Roman"/>
          <w:color w:val="000000"/>
          <w:sz w:val="31"/>
        </w:rPr>
        <w:t>5312.102</w:t>
      </w:r>
      <w:r>
        <w:rPr>
          <w:rFonts w:ascii="Times New Roman" w:hAnsi="Times New Roman"/>
          <w:color w:val="000000"/>
          <w:sz w:val="31"/>
        </w:rPr>
        <w:t xml:space="preserve"> Applicability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(a)(ii)(B)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2_2" w:id="3"/>
      <w:r>
        <w:rPr>
          <w:rFonts w:ascii="Times New Roman" w:hAnsi="Times New Roman"/>
          <w:color w:val="000000"/>
          <w:sz w:val="36"/>
        </w:rPr>
        <w:t>Subpart 5312.2</w:t>
      </w:r>
      <w:r>
        <w:rPr>
          <w:rFonts w:ascii="Times New Roman" w:hAnsi="Times New Roman"/>
          <w:color w:val="000000"/>
          <w:sz w:val="36"/>
        </w:rPr>
        <w:t xml:space="preserve"> - SPECIAL REQUIREMENTS FOR THE ACQUISITION OF COMMERCIAL ITEMS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2_207" w:id="4"/>
      <w:r>
        <w:rPr>
          <w:rFonts w:ascii="Times New Roman" w:hAnsi="Times New Roman"/>
          <w:color w:val="000000"/>
          <w:sz w:val="31"/>
        </w:rPr>
        <w:t>5312.207</w:t>
      </w:r>
      <w:r>
        <w:rPr>
          <w:rFonts w:ascii="Times New Roman" w:hAnsi="Times New Roman"/>
          <w:color w:val="000000"/>
          <w:sz w:val="31"/>
        </w:rPr>
        <w:t xml:space="preserve"> Contract Type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(b)(iii) See MP5301.601-90. Submit determinations through the SCO to </w:t>
      </w:r>
      <w:hyperlink r:id="R3418b4c7368f46b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 See AFFARS 5316.601(d)(i)(A)(1) for approvals when base period plus any option periods is three years or less.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2_272" w:id="5"/>
      <w:r>
        <w:rPr>
          <w:rFonts w:ascii="Times New Roman" w:hAnsi="Times New Roman"/>
          <w:color w:val="000000"/>
          <w:sz w:val="31"/>
        </w:rPr>
        <w:t>5312.272</w:t>
      </w:r>
      <w:r>
        <w:rPr>
          <w:rFonts w:ascii="Times New Roman" w:hAnsi="Times New Roman"/>
          <w:color w:val="000000"/>
          <w:sz w:val="31"/>
        </w:rPr>
        <w:t xml:space="preserve"> Preference for Certain Commercial Products and Services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2_3" w:id="6"/>
      <w:r>
        <w:rPr>
          <w:rFonts w:ascii="Times New Roman" w:hAnsi="Times New Roman"/>
          <w:color w:val="000000"/>
          <w:sz w:val="36"/>
        </w:rPr>
        <w:t>Subpart 5312.3</w:t>
      </w:r>
      <w:r>
        <w:rPr>
          <w:rFonts w:ascii="Times New Roman" w:hAnsi="Times New Roman"/>
          <w:color w:val="000000"/>
          <w:sz w:val="36"/>
        </w:rPr>
        <w:t xml:space="preserve"> - SOLICITATION PROVISIONS AND CONTRACT CLAUSES FOR THE ACQUISITION OF COMMERCIAL ITEMS</w:t>
      </w:r>
      <w:bookmarkEnd w:id="6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2_302" w:id="7"/>
      <w:r>
        <w:rPr>
          <w:rFonts w:ascii="Times New Roman" w:hAnsi="Times New Roman"/>
          <w:color w:val="000000"/>
          <w:sz w:val="31"/>
        </w:rPr>
        <w:t>5312.302</w:t>
      </w:r>
      <w:r>
        <w:rPr>
          <w:rFonts w:ascii="Times New Roman" w:hAnsi="Times New Roman"/>
          <w:color w:val="000000"/>
          <w:sz w:val="31"/>
        </w:rPr>
        <w:t xml:space="preserve"> Tailoring of Provisions and Clauses for the Acquisition of Commercial Items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2_4" w:id="8"/>
      <w:r>
        <w:rPr>
          <w:rFonts w:ascii="Times New Roman" w:hAnsi="Times New Roman"/>
          <w:color w:val="000000"/>
          <w:sz w:val="36"/>
        </w:rPr>
        <w:t>Subpart 5312.4</w:t>
      </w:r>
      <w:r>
        <w:rPr>
          <w:rFonts w:ascii="Times New Roman" w:hAnsi="Times New Roman"/>
          <w:color w:val="000000"/>
          <w:sz w:val="36"/>
        </w:rPr>
        <w:t xml:space="preserve"> - UNIQUE REQUIREMENTS REGARDING TERMS AND CONDITIONS FOR COMMERCIAL ITEMS</w:t>
      </w:r>
      <w:bookmarkEnd w:id="8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2_403" w:id="9"/>
      <w:r>
        <w:rPr>
          <w:rFonts w:ascii="Times New Roman" w:hAnsi="Times New Roman"/>
          <w:color w:val="000000"/>
          <w:sz w:val="31"/>
        </w:rPr>
        <w:t>5312.403</w:t>
      </w:r>
      <w:r>
        <w:rPr>
          <w:rFonts w:ascii="Times New Roman" w:hAnsi="Times New Roman"/>
          <w:color w:val="000000"/>
          <w:sz w:val="31"/>
        </w:rPr>
        <w:t xml:space="preserve"> Termination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for termination approval requirements.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2_90" w:id="10"/>
      <w:r>
        <w:rPr>
          <w:rFonts w:ascii="Times New Roman" w:hAnsi="Times New Roman"/>
          <w:color w:val="000000"/>
          <w:sz w:val="36"/>
        </w:rPr>
        <w:t>Subpart 5312.90</w:t>
      </w:r>
      <w:r>
        <w:rPr>
          <w:rFonts w:ascii="Times New Roman" w:hAnsi="Times New Roman"/>
          <w:color w:val="000000"/>
          <w:sz w:val="36"/>
        </w:rPr>
        <w:t xml:space="preserve"> - PILOT PROGRAM FOR DEFENSE COMMERCIAL SOLUTIONS OPENING</w:t>
      </w:r>
      <w:bookmarkEnd w:id="10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color w:val="0000FF"/>
        </w:rPr>
        <w:t xml:space="preserve">INTERIM CHANGE</w:t>
      </w:r>
      <w:r>
        <w:t xml:space="preserve">: See Policy Memo </w:t>
      </w:r>
      <w:hyperlink r:id="Rf1ecd4cf00d94c7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18-C-03</w:t>
        </w:r>
      </w:hyperlink>
      <w:r>
        <w:rPr>
          <w:rFonts w:ascii="Times New Roman" w:hAnsi="Times New Roman"/>
          <w:color w:val="000000"/>
          <w:u w:val="single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894cdfbb6fb4493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894cdfbb6fb44932" /><Relationship Type="http://schemas.openxmlformats.org/officeDocument/2006/relationships/hyperlink" Target="https://usaf.dps.mil/sites/AFCC/KnowledgeCenter/Pages/5312.aspx" TargetMode="External" Id="R0d11c6fdbdfb4d72" /><Relationship Type="http://schemas.openxmlformats.org/officeDocument/2006/relationships/hyperlink" Target="SUBPART_5312_1.dita#AFFARS_SUBPART_5312_1" TargetMode="External" Id="Rc08b38ac75454b1e" /><Relationship Type="http://schemas.openxmlformats.org/officeDocument/2006/relationships/hyperlink" Target="5312_102.dita#AFFARS_5312_102" TargetMode="External" Id="R8fff206d9d0c4c51" /><Relationship Type="http://schemas.openxmlformats.org/officeDocument/2006/relationships/hyperlink" Target="SUBPART_5312_2.dita#AFFARS_SUBPART_5312_2" TargetMode="External" Id="Rdc572babc38846f0" /><Relationship Type="http://schemas.openxmlformats.org/officeDocument/2006/relationships/hyperlink" Target="5312_207.dita#AFFARS_5312_207" TargetMode="External" Id="Rab0182e67f6c4049" /><Relationship Type="http://schemas.openxmlformats.org/officeDocument/2006/relationships/hyperlink" Target="5312_272.dita#AFFARS_5312_272" TargetMode="External" Id="Rfdd1a1d5934e4292" /><Relationship Type="http://schemas.openxmlformats.org/officeDocument/2006/relationships/hyperlink" Target="SUBPART_5312_3.dita#AFFARS_SUBPART_5312_3" TargetMode="External" Id="Rc36d817240d845c3" /><Relationship Type="http://schemas.openxmlformats.org/officeDocument/2006/relationships/hyperlink" Target="5312_302.dita#AFFARS_5312_302" TargetMode="External" Id="Ra964f2d1ad6e47c7" /><Relationship Type="http://schemas.openxmlformats.org/officeDocument/2006/relationships/hyperlink" Target="SUBPART_5312_4.dita#AFFARS_SUBPART_5312_4" TargetMode="External" Id="Rdbcb81f0f2db4c2f" /><Relationship Type="http://schemas.openxmlformats.org/officeDocument/2006/relationships/hyperlink" Target="5312_403.dita#AFFARS_5312_403" TargetMode="External" Id="R01af6010cf024ad6" /><Relationship Type="http://schemas.openxmlformats.org/officeDocument/2006/relationships/hyperlink" Target="SUBPART_5312_90.dita#AFFARS_SUBPART_5312_90" TargetMode="External" Id="Redc14dbda1f94c1c" /><Relationship Type="http://schemas.openxmlformats.org/officeDocument/2006/relationships/hyperlink" Target="mailto:SAF.AQ.SAF-AQC.Workflow@us.af.mil" TargetMode="External" Id="R3418b4c7368f46b7" /><Relationship Type="http://schemas.openxmlformats.org/officeDocument/2006/relationships/hyperlink" Target="https://usaf.dps.mil/sites/AFCC/KnowledgeCenter/Documents/Contracting_Memos/Policy/18-C-03.pdf" TargetMode="External" Id="Rf1ecd4cf00d94c7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