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34" w:id="0"/>
      <w:r>
        <w:rPr>
          <w:rFonts w:ascii="Times New Roman" w:hAnsi="Times New Roman"/>
          <w:color w:val="000000"/>
          <w:sz w:val="48"/>
        </w:rPr>
        <w:t>Part 5334</w:t>
      </w:r>
      <w:r>
        <w:rPr>
          <w:rFonts w:ascii="Times New Roman" w:hAnsi="Times New Roman"/>
          <w:color w:val="000000"/>
          <w:sz w:val="48"/>
        </w:rPr>
        <w:t xml:space="preserve"> - Major System Acquisition</w:t>
      </w:r>
      <w:bookmarkEnd w:id="0"/>
    </w:p>
    <w:p>
      <w:pPr>
        <w:pBdr>
          <w:top w:space="5"/>
          <w:left w:space="5"/>
          <w:bottom w:space="5"/>
          <w:right w:space="5"/>
        </w:pBdr>
        <w:spacing w:after="0"/>
        <w:ind w:left="225"/>
        <w:jc w:val="left"/>
      </w:pPr>
      <w:hyperlink r:id="R9cd3116f79bc4fb6">
        <w:r>
          <w:rPr>
            <w:rStyle w:val="Hyperlink"/>
            <w:rFonts w:ascii="Times New Roman" w:hAnsi="Times New Roman"/>
            <w:b w:val="false"/>
            <w:i w:val="false"/>
            <w:color w:val="0000ff"/>
            <w:sz w:val="22"/>
            <w:u w:val="single"/>
          </w:rPr>
          <w:t>AFFARS PART 5334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pBdr>
          <w:top w:space="5"/>
          <w:left w:space="5"/>
          <w:bottom w:space="5"/>
          <w:right w:space="5"/>
        </w:pBdr>
        <w:spacing w:after="0"/>
        <w:ind w:left="225"/>
        <w:jc w:val="left"/>
      </w:pPr>
      <w:r>
        <w:rPr>
          <w:color w:val="0000FF"/>
        </w:rPr>
        <w:t xml:space="preserve">INTERIM CHANGE</w:t>
      </w:r>
      <w:r>
        <w:t xml:space="preserve">: See Policy Memo </w:t>
      </w:r>
      <w:hyperlink r:id="Rd878b247ea064f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18-C-07</w:t>
        </w:r>
      </w:hyperlink>
      <w:r>
        <w:rPr>
          <w:rFonts w:ascii="Times New Roman" w:hAnsi="Times New Roman"/>
          <w:b w:val="false"/>
          <w:i w:val="false"/>
          <w:color w:val="000000"/>
          <w:sz w:val="22"/>
        </w:rPr>
        <w:t>.</w:t>
      </w:r>
    </w:p>
    <w:p>
      <w:pPr>
        <w:spacing w:after="0"/>
        <w:jc w:val="left"/>
        <w:ind w:left="720" w:hanging="360"/>
      </w:pPr>
      <w:hyperlink w:anchor="AFFARS_SUBPART_5334_2">
        <w:r>
          <w:rPr>
            <w:rStyle w:val="Hyperlink"/>
            <w:rFonts w:ascii="Times New Roman" w:hAnsi="Times New Roman"/>
            <w:b w:val="false"/>
            <w:i w:val="false"/>
            <w:color w:val="0000ff"/>
            <w:sz w:val="22"/>
            <w:u w:val="single"/>
          </w:rPr>
          <w:t>Subpart 5334.2 - EARNED VALUE MANAGEMENT SYSTEM</w:t>
        </w:r>
      </w:hyperlink>
    </w:p>
    <w:p>
      <w:pPr>
        <w:spacing w:after="0"/>
        <w:jc w:val="left"/>
        <w:ind w:left="1440" w:hanging="360"/>
      </w:pPr>
      <w:hyperlink w:anchor="AFFARS_5334_203">
        <w:r>
          <w:rPr>
            <w:rStyle w:val="Hyperlink"/>
            <w:rFonts w:ascii="Times New Roman" w:hAnsi="Times New Roman"/>
            <w:b w:val="false"/>
            <w:i w:val="false"/>
            <w:color w:val="0000ff"/>
            <w:sz w:val="22"/>
            <w:u w:val="single"/>
          </w:rPr>
          <w:t>5334.203 Solicitation provisions and contract clause</w:t>
        </w:r>
      </w:hyperlink>
    </w:p>
    <w:p>
      <w:pPr>
        <w:spacing w:after="0"/>
        <w:jc w:val="left"/>
        <w:ind w:left="720" w:hanging="360"/>
      </w:pPr>
      <w:hyperlink w:anchor="AFFARS_SUBPART_5334_70">
        <w:r>
          <w:rPr>
            <w:rStyle w:val="Hyperlink"/>
            <w:rFonts w:ascii="Times New Roman" w:hAnsi="Times New Roman"/>
            <w:b w:val="false"/>
            <w:i w:val="false"/>
            <w:color w:val="0000ff"/>
            <w:sz w:val="22"/>
            <w:u w:val="single"/>
          </w:rPr>
          <w:t>Subpart 5334.70 - ACQUISITION OF MAJOR WEAPON SYSTEMS AS COMMERCIAL ITEMS</w:t>
        </w:r>
      </w:hyperlink>
    </w:p>
    <w:p>
      <w:pPr>
        <w:spacing w:after="0"/>
        <w:jc w:val="left"/>
        <w:ind w:left="1440" w:hanging="360"/>
      </w:pPr>
      <w:hyperlink w:anchor="AFFARS_5334_7002">
        <w:r>
          <w:rPr>
            <w:rStyle w:val="Hyperlink"/>
            <w:rFonts w:ascii="Times New Roman" w:hAnsi="Times New Roman"/>
            <w:b w:val="false"/>
            <w:i w:val="false"/>
            <w:color w:val="0000ff"/>
            <w:sz w:val="22"/>
            <w:u w:val="single"/>
          </w:rPr>
          <w:t>5334.7002 Policy</w:t>
        </w:r>
      </w:hyperlink>
    </w:p>
    <!-- Created by docx4j 6.1.2 (Apache licensed) using REFERENCE JAXB in Oracle Java 15 on Linux -->
    <w:p>
      <w:pPr>
        <w:pStyle w:val="Heading2"/>
        <w:spacing w:after="180"/>
        <w:ind w:left="120"/>
        <w:jc w:val="center"/>
      </w:pPr>
      <w:bookmarkStart w:name="AFFARS_SUBPART_5334_2" w:id="1"/>
      <w:r>
        <w:rPr>
          <w:rFonts w:ascii="Times New Roman" w:hAnsi="Times New Roman"/>
          <w:color w:val="000000"/>
          <w:sz w:val="36"/>
        </w:rPr>
        <w:t>Subpart 5334.2</w:t>
      </w:r>
      <w:r>
        <w:rPr>
          <w:rFonts w:ascii="Times New Roman" w:hAnsi="Times New Roman"/>
          <w:color w:val="000000"/>
          <w:sz w:val="36"/>
        </w:rPr>
        <w:t xml:space="preserve"> - EARNED VALUE MANAGEMENT SYSTEM</w:t>
      </w:r>
      <w:bookmarkEnd w:id="1"/>
    </w:p>
    <!-- Created by docx4j 6.1.2 (Apache licensed) using REFERENCE JAXB in Oracle Java 15 on Linux -->
    <w:p>
      <w:pPr>
        <w:pStyle w:val="Heading3"/>
        <w:spacing w:after="199"/>
        <w:ind w:left="120"/>
        <w:jc w:val="left"/>
      </w:pPr>
      <w:bookmarkStart w:name="AFFARS_5334_203" w:id="2"/>
      <w:r>
        <w:rPr>
          <w:rFonts w:ascii="Times New Roman" w:hAnsi="Times New Roman"/>
          <w:color w:val="000000"/>
          <w:sz w:val="31"/>
        </w:rPr>
        <w:t xml:space="preserve"> </w:t>
      </w:r>
      <w:bookmarkStart w:name="title__Toc76474654" w:id="3"/>
      <w:r>
        <w:rPr>
          <w:rFonts w:ascii="Times New Roman" w:hAnsi="Times New Roman"/>
          <w:color w:val="000000"/>
          <w:sz w:val="31"/>
        </w:rPr>
        <w:t>5334.203</w:t>
      </w:r>
      <w:bookmarkEnd w:id="3"/>
      <w:r>
        <w:rPr>
          <w:rFonts w:ascii="Times New Roman" w:hAnsi="Times New Roman"/>
          <w:color w:val="000000"/>
          <w:sz w:val="31"/>
        </w:rPr>
        <w:t xml:space="preserve"> Solicitation provisions and contract clause</w:t>
      </w:r>
      <w:bookmarkEnd w:id="2"/>
    </w:p>
    <w:p>
      <w:pPr>
        <w:pBdr>
          <w:top w:space="5"/>
          <w:left w:space="5"/>
          <w:bottom w:space="5"/>
          <w:right w:space="5"/>
        </w:pBdr>
        <w:spacing w:after="0"/>
        <w:ind w:left="225"/>
        <w:jc w:val="left"/>
      </w:pPr>
      <w:r>
        <w:rPr>
          <w:rFonts w:ascii="Times New Roman" w:hAnsi="Times New Roman"/>
          <w:b w:val="false"/>
          <w:i w:val="false"/>
          <w:color w:val="000000"/>
          <w:sz w:val="22"/>
        </w:rPr>
        <w:t>If an Earned Value Management System (EVMS) waiver is obtained in accordance with the Adaptive Acquisition Framework Document Identification Tool (AAFDID) EVMS Application Requirements Table, contracting officers may omit the use of EVMS provisions and clauses prescribed for use in DFARS 234.203. The CAE approved EVMS waiver must be included in the contract file.</w:t>
      </w:r>
    </w:p>
    <!-- Created by docx4j 6.1.2 (Apache licensed) using REFERENCE JAXB in Oracle Java 15 on Linux -->
    <w:p>
      <w:pPr>
        <w:pStyle w:val="Heading2"/>
        <w:spacing w:after="180"/>
        <w:ind w:left="120"/>
        <w:jc w:val="center"/>
      </w:pPr>
      <w:bookmarkStart w:name="AFFARS_SUBPART_5334_70" w:id="4"/>
      <w:r>
        <w:rPr>
          <w:rFonts w:ascii="Times New Roman" w:hAnsi="Times New Roman"/>
          <w:color w:val="000000"/>
          <w:sz w:val="36"/>
        </w:rPr>
        <w:t>Subpart 5334.70</w:t>
      </w:r>
      <w:r>
        <w:rPr>
          <w:rFonts w:ascii="Times New Roman" w:hAnsi="Times New Roman"/>
          <w:color w:val="000000"/>
          <w:sz w:val="36"/>
        </w:rPr>
        <w:t xml:space="preserve"> - ACQUISITION OF MAJOR WEAPON SYSTEMS AS COMMERCIAL ITEMS</w:t>
      </w:r>
      <w:bookmarkEnd w:id="4"/>
    </w:p>
    <!-- Created by docx4j 6.1.2 (Apache licensed) using REFERENCE JAXB in Oracle Java 15 on Linux -->
    <w:p>
      <w:pPr>
        <w:pStyle w:val="Heading3"/>
        <w:spacing w:after="199"/>
        <w:ind w:left="120"/>
        <w:jc w:val="left"/>
      </w:pPr>
      <w:bookmarkStart w:name="AFFARS_5334_7002" w:id="5"/>
      <w:r>
        <w:rPr>
          <w:rFonts w:ascii="Times New Roman" w:hAnsi="Times New Roman"/>
          <w:color w:val="000000"/>
          <w:sz w:val="31"/>
        </w:rPr>
        <w:t>5334.7002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(d)(4)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d35b314fbc9f49b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35b314fbc9f49b5" /><Relationship Type="http://schemas.openxmlformats.org/officeDocument/2006/relationships/hyperlink" Target="https://usaf.dps.mil/sites/AFCC/KnowledgeCenter/Pages/5334.aspx" TargetMode="External" Id="R9cd3116f79bc4fb6" /><Relationship Type="http://schemas.openxmlformats.org/officeDocument/2006/relationships/hyperlink" Target="https://usaf.dps.mil/sites/AFCC/KnowledgeCenter/Documents/Contracting_Memos/Policy/18-C-07.pdf" TargetMode="External" Id="Rd878b247ea064f9f" /><Relationship Type="http://schemas.openxmlformats.org/officeDocument/2006/relationships/hyperlink" Target="SUBPART_5334_2.dita#AFFARS_SUBPART_5334_2" TargetMode="External" Id="Rd09ebbb23c414541" /><Relationship Type="http://schemas.openxmlformats.org/officeDocument/2006/relationships/hyperlink" Target="5334_203.dita#AFFARS_5334_203" TargetMode="External" Id="Ra298b12090054f90" /><Relationship Type="http://schemas.openxmlformats.org/officeDocument/2006/relationships/hyperlink" Target="SUBPART_5334_70.dita#AFFARS_SUBPART_5334_70" TargetMode="External" Id="R2f844d6e639b4937" /><Relationship Type="http://schemas.openxmlformats.org/officeDocument/2006/relationships/hyperlink" Target="5334_7002.dita#AFFARS_5334_7002" TargetMode="External" Id="R46a6e2f9f73d4c9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