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6" w:id="0"/>
      <w:r>
        <w:rPr>
          <w:rFonts w:ascii="Times New Roman" w:hAnsi="Times New Roman"/>
          <w:color w:val="000000"/>
          <w:sz w:val="48"/>
        </w:rPr>
        <w:t>Part 5336</w:t>
      </w:r>
      <w:r>
        <w:rPr>
          <w:rFonts w:ascii="Times New Roman" w:hAnsi="Times New Roman"/>
          <w:color w:val="000000"/>
          <w:sz w:val="48"/>
        </w:rPr>
        <w:t xml:space="preserve"> - Construction and Architect-Engineer Contracts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996fb647870c43e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36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5336.2 - SPECIAL ASPECTS OF CONTRACTING FOR CONSTRUCTION</w:t>
        </w:r>
      </w:hyperlink>
    </w:p>
    <w:p>
      <w:pPr>
        <w:spacing w:after="0"/>
        <w:jc w:val="left"/>
        <w:ind w:left="1440" w:hanging="360"/>
      </w:pPr>
      <w:hyperlink w:anchor="AFFARS_5336_20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5336.208 Concurrent Performance of Firm-Fixed-Price and Other Types of Construction Contracts</w:t>
        </w:r>
      </w:hyperlink>
    </w:p>
    <w:p>
      <w:pPr>
        <w:spacing w:after="0"/>
        <w:jc w:val="left"/>
        <w:ind w:left="1440" w:hanging="360"/>
      </w:pPr>
      <w:hyperlink w:anchor="AFFARS_5336_20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5336.209 Construction Contracts with Architect-Engineer Firms</w:t>
        </w:r>
      </w:hyperlink>
    </w:p>
    <w:p>
      <w:pPr>
        <w:spacing w:after="0"/>
        <w:jc w:val="left"/>
        <w:ind w:left="1440" w:hanging="360"/>
      </w:pPr>
      <w:hyperlink w:anchor="AFFARS_5336_213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5336.213-2 Presolicitation Notices</w:t>
        </w:r>
      </w:hyperlink>
    </w:p>
    <w:p>
      <w:pPr>
        <w:spacing w:after="0"/>
        <w:jc w:val="left"/>
        <w:ind w:left="1440" w:hanging="360"/>
      </w:pPr>
      <w:hyperlink w:anchor="AFFARS_5336_2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5336.272 Prequalification of Sources</w:t>
        </w:r>
      </w:hyperlink>
    </w:p>
    <w:p>
      <w:pPr>
        <w:spacing w:after="0"/>
        <w:jc w:val="left"/>
        <w:ind w:left="720" w:hanging="360"/>
      </w:pPr>
      <w:hyperlink w:anchor="AFFARS_SUBPART_5336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5336.3 - TWO-PHASE DESIGN-BUILD SELECTION PROCEDURES</w:t>
        </w:r>
      </w:hyperlink>
    </w:p>
    <w:p>
      <w:pPr>
        <w:spacing w:after="0"/>
        <w:jc w:val="left"/>
        <w:ind w:left="1440" w:hanging="360"/>
      </w:pPr>
      <w:hyperlink w:anchor="AFFARS_5336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5336.301 Use of Two-Phase Design-Build Selection Procedures</w:t>
        </w:r>
      </w:hyperlink>
    </w:p>
    <w:p>
      <w:pPr>
        <w:spacing w:after="0"/>
        <w:jc w:val="left"/>
        <w:ind w:left="1440" w:hanging="360"/>
      </w:pPr>
      <w:hyperlink w:anchor="AFFARS_5336_30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5336.303-1 Phase One</w:t>
        </w:r>
      </w:hyperlink>
    </w:p>
    <w:p>
      <w:pPr>
        <w:spacing w:after="0"/>
        <w:jc w:val="left"/>
        <w:ind w:left="720" w:hanging="360"/>
      </w:pPr>
      <w:hyperlink w:anchor="AFFARS_SUBPART_5336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5336.5 - CONTRACT CLAUSES</w:t>
        </w:r>
      </w:hyperlink>
    </w:p>
    <w:p>
      <w:pPr>
        <w:spacing w:after="0"/>
        <w:jc w:val="left"/>
        <w:ind w:left="1440" w:hanging="360"/>
      </w:pPr>
      <w:hyperlink w:anchor="AFFARS_5336_5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5336.507 Permits and Responsibilities</w:t>
        </w:r>
      </w:hyperlink>
    </w:p>
    <w:p>
      <w:pPr>
        <w:spacing w:after="0"/>
        <w:jc w:val="left"/>
        <w:ind w:left="1440" w:hanging="360"/>
      </w:pPr>
      <w:hyperlink w:anchor="AFFARS_5336_5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5336.570 Additional Provisions and Clauses</w:t>
        </w:r>
      </w:hyperlink>
    </w:p>
    <w:p>
      <w:pPr>
        <w:spacing w:after="0"/>
        <w:jc w:val="left"/>
        <w:ind w:left="720" w:hanging="360"/>
      </w:pPr>
      <w:hyperlink w:anchor="AFFARS_SUBPART_5336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5336.6 - ARCHITECT-ENGINEER SERVICES</w:t>
        </w:r>
      </w:hyperlink>
    </w:p>
    <w:p>
      <w:pPr>
        <w:spacing w:after="0"/>
        <w:jc w:val="left"/>
        <w:ind w:left="1440" w:hanging="360"/>
      </w:pPr>
      <w:hyperlink w:anchor="AFFARS_5336_602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5336.602-3 Evaluation Board Functions</w:t>
        </w:r>
      </w:hyperlink>
    </w:p>
    <w:p>
      <w:pPr>
        <w:spacing w:after="0"/>
        <w:jc w:val="left"/>
        <w:ind w:left="1440" w:hanging="360"/>
      </w:pPr>
      <w:hyperlink w:anchor="AFFARS_5336_609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5336.609-1 Design Within Funding Limitations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6_2" w:id="1"/>
      <w:r>
        <w:rPr>
          <w:rFonts w:ascii="Times New Roman" w:hAnsi="Times New Roman"/>
          <w:color w:val="000000"/>
          <w:sz w:val="36"/>
        </w:rPr>
        <w:t>Subpart 5336.2</w:t>
      </w:r>
      <w:r>
        <w:rPr>
          <w:rFonts w:ascii="Times New Roman" w:hAnsi="Times New Roman"/>
          <w:color w:val="000000"/>
          <w:sz w:val="36"/>
        </w:rPr>
        <w:t xml:space="preserve"> - SPECIAL ASPECTS OF CONTRACTING FOR CONSTRUCTION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208" w:id="2"/>
      <w:r>
        <w:rPr>
          <w:rFonts w:ascii="Times New Roman" w:hAnsi="Times New Roman"/>
          <w:color w:val="000000"/>
          <w:sz w:val="31"/>
        </w:rPr>
        <w:t>5336.208</w:t>
      </w:r>
      <w:r>
        <w:rPr>
          <w:rFonts w:ascii="Times New Roman" w:hAnsi="Times New Roman"/>
          <w:color w:val="000000"/>
          <w:sz w:val="31"/>
        </w:rPr>
        <w:t xml:space="preserve"> Concurrent Performance of Firm-Fixed-Price and Other Types of Construction Contracts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209" w:id="3"/>
      <w:r>
        <w:rPr>
          <w:rFonts w:ascii="Times New Roman" w:hAnsi="Times New Roman"/>
          <w:color w:val="000000"/>
          <w:sz w:val="31"/>
        </w:rPr>
        <w:t>5336.209</w:t>
      </w:r>
      <w:r>
        <w:rPr>
          <w:rFonts w:ascii="Times New Roman" w:hAnsi="Times New Roman"/>
          <w:color w:val="000000"/>
          <w:sz w:val="31"/>
        </w:rPr>
        <w:t xml:space="preserve"> Construction Contracts with Architect-Engineer Firms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requests through the SCO to </w:t>
      </w:r>
      <w:hyperlink r:id="Re2f36791cde8460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213_2" w:id="4"/>
      <w:r>
        <w:rPr>
          <w:rFonts w:ascii="Times New Roman" w:hAnsi="Times New Roman"/>
          <w:color w:val="000000"/>
          <w:sz w:val="31"/>
        </w:rPr>
        <w:t>5336.213-2</w:t>
      </w:r>
      <w:r>
        <w:rPr>
          <w:rFonts w:ascii="Times New Roman" w:hAnsi="Times New Roman"/>
          <w:color w:val="000000"/>
          <w:sz w:val="31"/>
        </w:rPr>
        <w:t xml:space="preserve"> Presolicitation Notices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272" w:id="5"/>
      <w:r>
        <w:rPr>
          <w:rFonts w:ascii="Times New Roman" w:hAnsi="Times New Roman"/>
          <w:color w:val="000000"/>
          <w:sz w:val="31"/>
        </w:rPr>
        <w:t>5336.272</w:t>
      </w:r>
      <w:r>
        <w:rPr>
          <w:rFonts w:ascii="Times New Roman" w:hAnsi="Times New Roman"/>
          <w:color w:val="000000"/>
          <w:sz w:val="31"/>
        </w:rPr>
        <w:t xml:space="preserve"> Prequalification of Sources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6_3" w:id="6"/>
      <w:r>
        <w:rPr>
          <w:rFonts w:ascii="Times New Roman" w:hAnsi="Times New Roman"/>
          <w:color w:val="000000"/>
          <w:sz w:val="36"/>
        </w:rPr>
        <w:t>Subpart 5336.3</w:t>
      </w:r>
      <w:r>
        <w:rPr>
          <w:rFonts w:ascii="Times New Roman" w:hAnsi="Times New Roman"/>
          <w:color w:val="000000"/>
          <w:sz w:val="36"/>
        </w:rPr>
        <w:t xml:space="preserve"> - TWO-PHASE DESIGN-BUILD SELECTION PROCEDURES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301" w:id="7"/>
      <w:r>
        <w:rPr>
          <w:rFonts w:ascii="Times New Roman" w:hAnsi="Times New Roman"/>
          <w:color w:val="000000"/>
          <w:sz w:val="31"/>
        </w:rPr>
        <w:t>5336.301</w:t>
      </w:r>
      <w:r>
        <w:rPr>
          <w:rFonts w:ascii="Times New Roman" w:hAnsi="Times New Roman"/>
          <w:color w:val="000000"/>
          <w:sz w:val="31"/>
        </w:rPr>
        <w:t xml:space="preserve"> Use of Two-Phase Design-Build Selection Procedures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(b)(3)(vi)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303_1" w:id="8"/>
      <w:r>
        <w:rPr>
          <w:rFonts w:ascii="Times New Roman" w:hAnsi="Times New Roman"/>
          <w:color w:val="000000"/>
          <w:sz w:val="31"/>
        </w:rPr>
        <w:t>5336.303-1</w:t>
      </w:r>
      <w:r>
        <w:rPr>
          <w:rFonts w:ascii="Times New Roman" w:hAnsi="Times New Roman"/>
          <w:color w:val="000000"/>
          <w:sz w:val="31"/>
        </w:rPr>
        <w:t xml:space="preserve"> Phase One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(a)(4)(i)(B)See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6_5" w:id="9"/>
      <w:r>
        <w:rPr>
          <w:rFonts w:ascii="Times New Roman" w:hAnsi="Times New Roman"/>
          <w:color w:val="000000"/>
          <w:sz w:val="36"/>
        </w:rPr>
        <w:t>Subpart 5336.5</w:t>
      </w:r>
      <w:r>
        <w:rPr>
          <w:rFonts w:ascii="Times New Roman" w:hAnsi="Times New Roman"/>
          <w:color w:val="000000"/>
          <w:sz w:val="36"/>
        </w:rPr>
        <w:t xml:space="preserve"> - CONTRACT CLAUSES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507" w:id="10"/>
      <w:r>
        <w:rPr>
          <w:rFonts w:ascii="Times New Roman" w:hAnsi="Times New Roman"/>
          <w:color w:val="000000"/>
          <w:sz w:val="31"/>
        </w:rPr>
        <w:t>5336.507</w:t>
      </w:r>
      <w:r>
        <w:rPr>
          <w:rFonts w:ascii="Times New Roman" w:hAnsi="Times New Roman"/>
          <w:color w:val="000000"/>
          <w:sz w:val="31"/>
        </w:rPr>
        <w:t xml:space="preserve"> Permits and Responsibilities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the clause at FAR 52.236-7, Permits and Responsibilities, is used in solicitations and contracts OCONUS, the clause must be modified to reflect “host government and political subdivisions” in lieu of “Federal, State, and Municipal.”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570" w:id="11"/>
      <w:r>
        <w:rPr>
          <w:rFonts w:ascii="Times New Roman" w:hAnsi="Times New Roman"/>
          <w:color w:val="000000"/>
          <w:sz w:val="31"/>
        </w:rPr>
        <w:t>5336.570</w:t>
      </w:r>
      <w:r>
        <w:rPr>
          <w:rFonts w:ascii="Times New Roman" w:hAnsi="Times New Roman"/>
          <w:color w:val="000000"/>
          <w:sz w:val="31"/>
        </w:rPr>
        <w:t xml:space="preserve"> Additional Provisions and Clauses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6_6" w:id="12"/>
      <w:r>
        <w:rPr>
          <w:rFonts w:ascii="Times New Roman" w:hAnsi="Times New Roman"/>
          <w:color w:val="000000"/>
          <w:sz w:val="36"/>
        </w:rPr>
        <w:t>Subpart 5336.6</w:t>
      </w:r>
      <w:r>
        <w:rPr>
          <w:rFonts w:ascii="Times New Roman" w:hAnsi="Times New Roman"/>
          <w:color w:val="000000"/>
          <w:sz w:val="36"/>
        </w:rPr>
        <w:t xml:space="preserve"> - ARCHITECT-ENGINEER SERVICES</w:t>
      </w:r>
      <w:bookmarkEnd w:id="12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602_3" w:id="13"/>
      <w:r>
        <w:rPr>
          <w:rFonts w:ascii="Times New Roman" w:hAnsi="Times New Roman"/>
          <w:color w:val="000000"/>
          <w:sz w:val="31"/>
        </w:rPr>
        <w:t>5336.602-3</w:t>
      </w:r>
      <w:r>
        <w:rPr>
          <w:rFonts w:ascii="Times New Roman" w:hAnsi="Times New Roman"/>
          <w:color w:val="000000"/>
          <w:sz w:val="31"/>
        </w:rPr>
        <w:t xml:space="preserve"> Evaluation Board Functions</w:t>
      </w:r>
      <w:bookmarkEnd w:id="1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609_1" w:id="14"/>
      <w:r>
        <w:rPr>
          <w:rFonts w:ascii="Times New Roman" w:hAnsi="Times New Roman"/>
          <w:color w:val="000000"/>
          <w:sz w:val="31"/>
        </w:rPr>
        <w:t>5336.609-1</w:t>
      </w:r>
      <w:r>
        <w:rPr>
          <w:rFonts w:ascii="Times New Roman" w:hAnsi="Times New Roman"/>
          <w:color w:val="000000"/>
          <w:sz w:val="31"/>
        </w:rPr>
        <w:t xml:space="preserve"> Design Within Funding Limitations</w:t>
      </w:r>
      <w:bookmarkEnd w:id="1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d3bbb50fea3441d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3bbb50fea3441db" /><Relationship Type="http://schemas.openxmlformats.org/officeDocument/2006/relationships/hyperlink" Target="https://usaf.dps.mil/sites/AFCC/KnowledgeCenter/Pages/5336.aspx" TargetMode="External" Id="R996fb647870c43eb" /><Relationship Type="http://schemas.openxmlformats.org/officeDocument/2006/relationships/hyperlink" Target="SUBPART_5336_2.dita#AFFARS_SUBPART_5336_2" TargetMode="External" Id="Rc0db569b88864647" /><Relationship Type="http://schemas.openxmlformats.org/officeDocument/2006/relationships/hyperlink" Target="5336_208.dita#AFFARS_5336_208" TargetMode="External" Id="Re3dfb61716f54ea8" /><Relationship Type="http://schemas.openxmlformats.org/officeDocument/2006/relationships/hyperlink" Target="5336_209.dita#AFFARS_5336_209" TargetMode="External" Id="Rdccc1de220b243ce" /><Relationship Type="http://schemas.openxmlformats.org/officeDocument/2006/relationships/hyperlink" Target="5336_213_2.dita#AFFARS_5336_213_2" TargetMode="External" Id="R543a26a5dfa145fd" /><Relationship Type="http://schemas.openxmlformats.org/officeDocument/2006/relationships/hyperlink" Target="5336_272.dita#AFFARS_5336_272" TargetMode="External" Id="R8fccadea9fd74105" /><Relationship Type="http://schemas.openxmlformats.org/officeDocument/2006/relationships/hyperlink" Target="SUBPART_5336_3.dita#AFFARS_SUBPART_5336_3" TargetMode="External" Id="R3970526876be4658" /><Relationship Type="http://schemas.openxmlformats.org/officeDocument/2006/relationships/hyperlink" Target="5336_301.dita#AFFARS_5336_301" TargetMode="External" Id="R5a6531ab0c7d4739" /><Relationship Type="http://schemas.openxmlformats.org/officeDocument/2006/relationships/hyperlink" Target="5336_303_1.dita#AFFARS_5336_303_1" TargetMode="External" Id="R7706a34f35794451" /><Relationship Type="http://schemas.openxmlformats.org/officeDocument/2006/relationships/hyperlink" Target="SUBPART_5336_5.dita#AFFARS_SUBPART_5336_5" TargetMode="External" Id="R19a88324423e4007" /><Relationship Type="http://schemas.openxmlformats.org/officeDocument/2006/relationships/hyperlink" Target="5336_507.dita#AFFARS_5336_507" TargetMode="External" Id="Raefdeb8590104788" /><Relationship Type="http://schemas.openxmlformats.org/officeDocument/2006/relationships/hyperlink" Target="5336_570.dita#AFFARS_5336_570" TargetMode="External" Id="Rfe4fc3473c3d4bc3" /><Relationship Type="http://schemas.openxmlformats.org/officeDocument/2006/relationships/hyperlink" Target="SUBPART_5336_6.dita#AFFARS_SUBPART_5336_6" TargetMode="External" Id="Rfef7a0c52be54c02" /><Relationship Type="http://schemas.openxmlformats.org/officeDocument/2006/relationships/hyperlink" Target="5336_602_3.dita#AFFARS_5336_602_3" TargetMode="External" Id="R90987371ea984d2c" /><Relationship Type="http://schemas.openxmlformats.org/officeDocument/2006/relationships/hyperlink" Target="5336_609_1.dita#AFFARS_5336_609_1" TargetMode="External" Id="Rcf8042cf5e174b42" /><Relationship Type="http://schemas.openxmlformats.org/officeDocument/2006/relationships/hyperlink" Target="mailto:SAF.AQ.SAF-AQC.Workflow@us.af.mil" TargetMode="External" Id="Re2f36791cde8460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