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51" w:id="0"/>
      <w:r>
        <w:rPr>
          <w:rFonts w:ascii="Times New Roman" w:hAnsi="Times New Roman"/>
          <w:color w:val="000000"/>
          <w:sz w:val="48"/>
        </w:rPr>
        <w:t>Part 5351</w:t>
      </w:r>
      <w:r>
        <w:rPr>
          <w:rFonts w:ascii="Times New Roman" w:hAnsi="Times New Roman"/>
          <w:color w:val="000000"/>
          <w:sz w:val="48"/>
        </w:rPr>
        <w:t xml:space="preserve"> - Reserved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Reserved</w:t>
      </w:r>
    </w:p>
    <w:sectPr>
      <w:pgSz w:w="12240" w:h="15840" w:code="1"/>
      <w:pgMar w:top="1440" w:right="1440" w:bottom="1440" w:left="1440"/>
      <w:pgNumType w:start="1"/>
      <w:footerReference w:type="default" r:id="R960c3dc3a50d4a1a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960c3dc3a50d4a1a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