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52" w:id="0"/>
      <w:r>
        <w:rPr>
          <w:rFonts w:ascii="Times New Roman" w:hAnsi="Times New Roman"/>
          <w:color w:val="000000"/>
          <w:sz w:val="48"/>
        </w:rPr>
        <w:t>Part 5352</w:t>
      </w:r>
      <w:r>
        <w:rPr>
          <w:rFonts w:ascii="Times New Roman" w:hAnsi="Times New Roman"/>
          <w:color w:val="000000"/>
          <w:sz w:val="48"/>
        </w:rPr>
        <w:t xml:space="preserve"> - Solicitation Provisions and Contract Clauses</w:t>
      </w:r>
      <w:bookmarkEnd w:id="0"/>
    </w:p>
    <w:p>
      <w:pPr>
        <w:pStyle w:val="Normal"/>
        <w:pBdr>
          <w:top w:space="5"/>
          <w:left w:space="5"/>
          <w:bottom w:space="5"/>
          <w:right w:space="5"/>
        </w:pBdr>
        <w:spacing w:after="0"/>
        <w:ind w:left="225"/>
        <w:jc w:val="left"/>
      </w:pPr>
      <w:hyperlink r:id="R15e04db416a44859">
        <w:r>
          <w:rPr>
            <w:rStyle w:val="Hyperlink"/>
            <w:rFonts w:ascii="Times New Roman" w:hAnsi="Times New Roman"/>
            <w:color w:val="0000ff"/>
            <w:u w:val="single"/>
          </w:rPr>
          <w:t>AFFARS PART 5352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2_2">
        <w:r>
          <w:rPr>
            <w:rStyle w:val="Hyperlink"/>
            <w:rFonts w:ascii="Times New Roman" w:hAnsi="Times New Roman"/>
            <w:b w:val="false"/>
            <w:i w:val="false"/>
            <w:color w:val="0000ff"/>
            <w:sz w:val="22"/>
            <w:u w:val="single"/>
          </w:rPr>
          <w:t>Subpart 5352.2 - TEXT OF PROVISIONS AND CLAUSES</w:t>
        </w:r>
      </w:hyperlink>
    </w:p>
    <w:p>
      <w:pPr>
        <w:spacing w:after="0"/>
        <w:jc w:val="left"/>
        <w:ind w:left="1440" w:hanging="360"/>
      </w:pPr>
      <w:hyperlink w:anchor="AFFARS_5352_201_9101">
        <w:r>
          <w:rPr>
            <w:rStyle w:val="Hyperlink"/>
            <w:rFonts w:ascii="Times New Roman" w:hAnsi="Times New Roman"/>
            <w:b w:val="false"/>
            <w:i w:val="false"/>
            <w:color w:val="0000ff"/>
            <w:sz w:val="22"/>
            <w:u w:val="single"/>
          </w:rPr>
          <w:t>5352.201-9101 Ombudsman</w:t>
        </w:r>
      </w:hyperlink>
    </w:p>
    <w:p>
      <w:pPr>
        <w:spacing w:after="0"/>
        <w:jc w:val="left"/>
        <w:ind w:left="1440" w:hanging="360"/>
      </w:pPr>
      <w:hyperlink w:anchor="AFFARS_5352_204_9000">
        <w:r>
          <w:rPr>
            <w:rStyle w:val="Hyperlink"/>
            <w:rFonts w:ascii="Times New Roman" w:hAnsi="Times New Roman"/>
            <w:b w:val="false"/>
            <w:i w:val="false"/>
            <w:color w:val="0000ff"/>
            <w:sz w:val="22"/>
            <w:u w:val="single"/>
          </w:rPr>
          <w:t>5352.204-9000 Notification of Government Security Activities</w:t>
        </w:r>
      </w:hyperlink>
    </w:p>
    <w:p>
      <w:pPr>
        <w:spacing w:after="0"/>
        <w:jc w:val="left"/>
        <w:ind w:left="1440" w:hanging="360"/>
      </w:pPr>
      <w:hyperlink w:anchor="AFFARS_5352_209_9000">
        <w:r>
          <w:rPr>
            <w:rStyle w:val="Hyperlink"/>
            <w:rFonts w:ascii="Times New Roman" w:hAnsi="Times New Roman"/>
            <w:b w:val="false"/>
            <w:i w:val="false"/>
            <w:color w:val="0000ff"/>
            <w:sz w:val="22"/>
            <w:u w:val="single"/>
          </w:rPr>
          <w:t>5352.209-9000 Organizational Conflict of Interest</w:t>
        </w:r>
      </w:hyperlink>
    </w:p>
    <w:p>
      <w:pPr>
        <w:spacing w:after="0"/>
        <w:jc w:val="left"/>
        <w:ind w:left="1440" w:hanging="360"/>
      </w:pPr>
      <w:hyperlink w:anchor="AFFARS_5352_209_9001">
        <w:r>
          <w:rPr>
            <w:rStyle w:val="Hyperlink"/>
            <w:rFonts w:ascii="Times New Roman" w:hAnsi="Times New Roman"/>
            <w:b w:val="false"/>
            <w:i w:val="false"/>
            <w:color w:val="0000ff"/>
            <w:sz w:val="22"/>
            <w:u w:val="single"/>
          </w:rPr>
          <w:t>5352.209-9001 Potential Organizational Conflict of Interest</w:t>
        </w:r>
      </w:hyperlink>
    </w:p>
    <w:p>
      <w:pPr>
        <w:spacing w:after="0"/>
        <w:jc w:val="left"/>
        <w:ind w:left="1440" w:hanging="360"/>
      </w:pPr>
      <w:hyperlink w:anchor="AFFARS_5352_217_9000">
        <w:r>
          <w:rPr>
            <w:rStyle w:val="Hyperlink"/>
            <w:rFonts w:ascii="Times New Roman" w:hAnsi="Times New Roman"/>
            <w:b w:val="false"/>
            <w:i w:val="false"/>
            <w:color w:val="0000ff"/>
            <w:sz w:val="22"/>
            <w:u w:val="single"/>
          </w:rPr>
          <w:t>5352.217-9000 Long Lead Limitation of Government Liability</w:t>
        </w:r>
      </w:hyperlink>
    </w:p>
    <w:p>
      <w:pPr>
        <w:spacing w:after="0"/>
        <w:jc w:val="left"/>
        <w:ind w:left="1440" w:hanging="360"/>
      </w:pPr>
      <w:hyperlink w:anchor="AFFARS_5352_223_9000">
        <w:r>
          <w:rPr>
            <w:rStyle w:val="Hyperlink"/>
            <w:rFonts w:ascii="Times New Roman" w:hAnsi="Times New Roman"/>
            <w:b w:val="false"/>
            <w:i w:val="false"/>
            <w:color w:val="0000ff"/>
            <w:sz w:val="22"/>
            <w:u w:val="single"/>
          </w:rPr>
          <w:t>5352.223-9000 Elimination of Use of Class I Ozone Depleting Substances (ODS)</w:t>
        </w:r>
      </w:hyperlink>
    </w:p>
    <w:p>
      <w:pPr>
        <w:spacing w:after="0"/>
        <w:jc w:val="left"/>
        <w:ind w:left="1440" w:hanging="360"/>
      </w:pPr>
      <w:hyperlink w:anchor="AFFARS_5352_223_9001">
        <w:r>
          <w:rPr>
            <w:rStyle w:val="Hyperlink"/>
            <w:rFonts w:ascii="Times New Roman" w:hAnsi="Times New Roman"/>
            <w:b w:val="false"/>
            <w:i w:val="false"/>
            <w:color w:val="0000ff"/>
            <w:sz w:val="22"/>
            <w:u w:val="single"/>
          </w:rPr>
          <w:t>5352.223-9001 Health and Safety on Government Installations</w:t>
        </w:r>
      </w:hyperlink>
    </w:p>
    <w:p>
      <w:pPr>
        <w:spacing w:after="0"/>
        <w:jc w:val="left"/>
        <w:ind w:left="1440" w:hanging="360"/>
      </w:pPr>
      <w:hyperlink w:anchor="AFFARS_5352_228_9101">
        <w:r>
          <w:rPr>
            <w:rStyle w:val="Hyperlink"/>
            <w:rFonts w:ascii="Times New Roman" w:hAnsi="Times New Roman"/>
            <w:b w:val="false"/>
            <w:i w:val="false"/>
            <w:color w:val="0000ff"/>
            <w:sz w:val="22"/>
            <w:u w:val="single"/>
          </w:rPr>
          <w:t>5352.228-9101 Insurance Certificate Requirement in Spain (USAFE)</w:t>
        </w:r>
      </w:hyperlink>
    </w:p>
    <w:p>
      <w:pPr>
        <w:spacing w:after="0"/>
        <w:jc w:val="left"/>
        <w:ind w:left="1440" w:hanging="360"/>
      </w:pPr>
      <w:hyperlink w:anchor="AFFARS_5352_242_9000">
        <w:r>
          <w:rPr>
            <w:rStyle w:val="Hyperlink"/>
            <w:rFonts w:ascii="Times New Roman" w:hAnsi="Times New Roman"/>
            <w:b w:val="false"/>
            <w:i w:val="false"/>
            <w:color w:val="0000ff"/>
            <w:sz w:val="22"/>
            <w:u w:val="single"/>
          </w:rPr>
          <w:t>5352.242-9000 Contractor Access to Air Force Installations</w:t>
        </w:r>
      </w:hyperlink>
    </w:p>
    <w:p>
      <w:pPr>
        <w:spacing w:after="0"/>
        <w:jc w:val="left"/>
        <w:ind w:left="1440" w:hanging="360"/>
      </w:pPr>
      <w:hyperlink w:anchor="AFFARS_5352_242_9001">
        <w:r>
          <w:rPr>
            <w:rStyle w:val="Hyperlink"/>
            <w:rFonts w:ascii="Times New Roman" w:hAnsi="Times New Roman"/>
            <w:b w:val="false"/>
            <w:i w:val="false"/>
            <w:color w:val="0000ff"/>
            <w:sz w:val="22"/>
            <w:u w:val="single"/>
          </w:rPr>
          <w:t>5352.242-9001 Common Access Cards (CAC) for Contractor Personnel</w:t>
        </w:r>
      </w:hyperlink>
    </w:p>
    <!-- Created by docx4j 6.1.2 (Apache licensed) using REFERENCE JAXB in Oracle Java 15 on Linux -->
    <w:p>
      <w:pPr>
        <w:pStyle w:val="Heading2"/>
        <w:spacing w:after="180"/>
        <w:ind w:left="120"/>
        <w:jc w:val="center"/>
      </w:pPr>
      <w:bookmarkStart w:name="AFFARS_SUBPART_5352_2" w:id="1"/>
      <w:r>
        <w:rPr>
          <w:rFonts w:ascii="Times New Roman" w:hAnsi="Times New Roman"/>
          <w:color w:val="000000"/>
          <w:sz w:val="36"/>
        </w:rPr>
        <w:t>Subpart 5352.2</w:t>
      </w:r>
      <w:r>
        <w:rPr>
          <w:rFonts w:ascii="Times New Roman" w:hAnsi="Times New Roman"/>
          <w:color w:val="000000"/>
          <w:sz w:val="36"/>
        </w:rPr>
        <w:t xml:space="preserve"> - TEXT OF PROVISIONS AND CLAUSES</w:t>
      </w:r>
      <w:bookmarkEnd w:id="1"/>
    </w:p>
    <!-- Created by docx4j 6.1.2 (Apache licensed) using REFERENCE JAXB in Oracle Java 15 on Linux -->
    <w:p>
      <w:pPr>
        <w:pStyle w:val="Heading3"/>
        <w:spacing w:after="199"/>
        <w:ind w:left="120"/>
        <w:jc w:val="left"/>
      </w:pPr>
      <w:bookmarkStart w:name="AFFARS_5352_201_9101" w:id="2"/>
      <w:r>
        <w:rPr>
          <w:rFonts w:ascii="Times New Roman" w:hAnsi="Times New Roman"/>
          <w:color w:val="000000"/>
          <w:sz w:val="31"/>
        </w:rPr>
        <w:t>5352.201-9101</w:t>
      </w:r>
      <w:r>
        <w:rPr>
          <w:rFonts w:ascii="Times New Roman" w:hAnsi="Times New Roman"/>
          <w:color w:val="000000"/>
          <w:sz w:val="31"/>
        </w:rPr>
        <w:t xml:space="preserve"> Ombudsman</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4_9000" w:id="3"/>
      <w:r>
        <w:rPr>
          <w:rFonts w:ascii="Times New Roman" w:hAnsi="Times New Roman"/>
          <w:color w:val="000000"/>
          <w:sz w:val="31"/>
        </w:rPr>
        <w:t>5352.204-9000</w:t>
      </w:r>
      <w:r>
        <w:rPr>
          <w:rFonts w:ascii="Times New Roman" w:hAnsi="Times New Roman"/>
          <w:color w:val="000000"/>
          <w:sz w:val="31"/>
        </w:rPr>
        <w:t xml:space="preserve"> Notification of Government Security Activities</w:t>
      </w:r>
      <w:bookmarkEnd w:id="3"/>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the following clause in solicitations and contracts:</w:t>
      </w:r>
    </w:p>
    <w:p>
      <w:pPr>
        <w:pStyle w:val="Normal"/>
        <w:pBdr>
          <w:top w:space="5"/>
          <w:left w:space="5"/>
          <w:bottom w:space="5"/>
          <w:right w:space="5"/>
        </w:pBdr>
        <w:spacing w:after="0"/>
        <w:ind w:left="225"/>
        <w:jc w:val="left"/>
      </w:pPr>
      <w:r>
        <w:rPr>
          <w:rFonts w:ascii="Times New Roman" w:hAnsi="Times New Roman"/>
          <w:b/>
          <w:color w:val="000000"/>
        </w:rPr>
        <w:t>NOTIFICATION OF GOVERNMENT SECURITY</w:t>
      </w:r>
      <w:r>
        <w:rPr>
          <w:rFonts w:ascii="Times New Roman" w:hAnsi="Times New Roman"/>
          <w:color w:val="000000"/>
        </w:rPr>
        <w:t xml:space="preserve"> </w:t>
      </w:r>
      <w:r>
        <w:rPr>
          <w:rFonts w:ascii="Times New Roman" w:hAnsi="Times New Roman"/>
          <w:b/>
          <w:color w:val="000000"/>
        </w:rPr>
        <w:t>ACTIVITIES</w:t>
      </w:r>
      <w:r>
        <w:rPr>
          <w:rFonts w:ascii="Times New Roman" w:hAnsi="Times New Roman"/>
          <w:color w:val="000000"/>
        </w:rPr>
        <w:t xml:space="preserve"> </w:t>
      </w:r>
      <w:r>
        <w:rPr>
          <w:rFonts w:ascii="Times New Roman" w:hAnsi="Times New Roman"/>
          <w:b/>
          <w:color w:val="000000"/>
        </w:rPr>
        <w:t>(</w:t>
      </w:r>
      <w:r>
        <w:rPr>
          <w:rFonts w:ascii="Times New Roman" w:hAnsi="Times New Roman"/>
          <w:b/>
          <w:color w:val="000000"/>
        </w:rPr>
        <w:t>MAY 2021</w:t>
      </w: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This contract contains a </w:t>
      </w:r>
      <w:hyperlink r:id="Re88ff117b9714646">
        <w:r>
          <w:rPr>
            <w:rStyle w:val="Hyperlink"/>
            <w:rFonts w:ascii="Times New Roman" w:hAnsi="Times New Roman"/>
            <w:color w:val="0000ff"/>
            <w:u w:val="single"/>
          </w:rPr>
          <w:t/>
        </w:r>
        <w:r>
          <w:rPr>
            <w:rFonts w:ascii="Times New Roman" w:hAnsi="Times New Roman"/>
            <w:color w:val="0000ff"/>
            <w:u w:val="single"/>
          </w:rPr>
          <w:t>DD Form 254</w:t>
        </w:r>
      </w:hyperlink>
      <w:r>
        <w:rPr>
          <w:rFonts w:ascii="Times New Roman" w:hAnsi="Times New Roman"/>
          <w:color w:val="000000"/>
        </w:rPr>
        <w:t xml:space="preserve">, DOD Contract Security Classification Specification, and requires performance at a government location in the U.S. or overseas. Prior to beginning operations involving classified information on an installation identified on the </w:t>
      </w:r>
      <w:hyperlink r:id="Rbfbf83dc7c6c4569">
        <w:r>
          <w:rPr>
            <w:rStyle w:val="Hyperlink"/>
            <w:rFonts w:ascii="Times New Roman" w:hAnsi="Times New Roman"/>
            <w:color w:val="0000ff"/>
            <w:u w:val="single"/>
          </w:rPr>
          <w:t/>
        </w:r>
        <w:r>
          <w:rPr>
            <w:rFonts w:ascii="Times New Roman" w:hAnsi="Times New Roman"/>
            <w:color w:val="0000ff"/>
            <w:u w:val="single"/>
          </w:rPr>
          <w:t>DD Form 254</w:t>
        </w:r>
      </w:hyperlink>
      <w:r>
        <w:rPr>
          <w:rFonts w:ascii="Times New Roman" w:hAnsi="Times New Roman"/>
          <w:color w:val="000000"/>
        </w:rPr>
        <w:t>, the contractor shall take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At least thirty days prior to beginning operations, notify the Information Protection Office shown in the distribution block of the </w:t>
      </w:r>
      <w:hyperlink r:id="R4f227659f2154b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as to:</w:t>
      </w:r>
    </w:p>
    <w:p>
      <w:pPr>
        <w:pBdr>
          <w:top w:space="5"/>
          <w:left w:space="5"/>
          <w:bottom w:space="5"/>
          <w:right w:space="5"/>
        </w:pBdr>
        <w:spacing w:after="0"/>
        <w:ind w:left="585"/>
        <w:jc w:val="left"/>
      </w:pPr>
      <w:r>
        <w:rPr>
          <w:rFonts w:ascii="Times New Roman" w:hAnsi="Times New Roman"/>
          <w:b w:val="false"/>
          <w:i w:val="false"/>
          <w:color w:val="000000"/>
          <w:sz w:val="22"/>
        </w:rPr>
        <w:t>(1) The name, address, and telephone number of this contract company’s representative and designated alternate in the U.S. or overseas area, as appropriate;</w:t>
      </w:r>
    </w:p>
    <w:p>
      <w:pPr>
        <w:pBdr>
          <w:top w:space="5"/>
          <w:left w:space="5"/>
          <w:bottom w:space="5"/>
          <w:right w:space="5"/>
        </w:pBdr>
        <w:spacing w:after="0"/>
        <w:ind w:left="585"/>
        <w:jc w:val="left"/>
      </w:pPr>
      <w:r>
        <w:rPr>
          <w:rFonts w:ascii="Times New Roman" w:hAnsi="Times New Roman"/>
          <w:b w:val="false"/>
          <w:i w:val="false"/>
          <w:color w:val="000000"/>
          <w:sz w:val="22"/>
        </w:rPr>
        <w:t>(2) The contract number and military contracting command;</w:t>
      </w:r>
    </w:p>
    <w:p>
      <w:pPr>
        <w:pBdr>
          <w:top w:space="5"/>
          <w:left w:space="5"/>
          <w:bottom w:space="5"/>
          <w:right w:space="5"/>
        </w:pBdr>
        <w:spacing w:after="0"/>
        <w:ind w:left="585"/>
        <w:jc w:val="left"/>
      </w:pPr>
      <w:r>
        <w:rPr>
          <w:rFonts w:ascii="Times New Roman" w:hAnsi="Times New Roman"/>
          <w:b w:val="false"/>
          <w:i w:val="false"/>
          <w:color w:val="000000"/>
          <w:sz w:val="22"/>
        </w:rPr>
        <w:t>(3) The highest classification category of defense information to which contractor employees will have access;</w:t>
      </w:r>
    </w:p>
    <w:p>
      <w:pPr>
        <w:pBdr>
          <w:top w:space="5"/>
          <w:left w:space="5"/>
          <w:bottom w:space="5"/>
          <w:right w:space="5"/>
        </w:pBdr>
        <w:spacing w:after="0"/>
        <w:ind w:left="585"/>
        <w:jc w:val="left"/>
      </w:pPr>
      <w:r>
        <w:rPr>
          <w:rFonts w:ascii="Times New Roman" w:hAnsi="Times New Roman"/>
          <w:b w:val="false"/>
          <w:i w:val="false"/>
          <w:color w:val="000000"/>
          <w:sz w:val="22"/>
        </w:rPr>
        <w:t>(4) The Air Force installations in the U.S. (in overseas areas, identify only the APO number(s)) where the contract work will be performed;</w:t>
      </w:r>
    </w:p>
    <w:p>
      <w:pPr>
        <w:pBdr>
          <w:top w:space="5"/>
          <w:left w:space="5"/>
          <w:bottom w:space="5"/>
          <w:right w:space="5"/>
        </w:pBdr>
        <w:spacing w:after="0"/>
        <w:ind w:left="585"/>
        <w:jc w:val="left"/>
      </w:pPr>
      <w:r>
        <w:rPr>
          <w:rFonts w:ascii="Times New Roman" w:hAnsi="Times New Roman"/>
          <w:b w:val="false"/>
          <w:i w:val="false"/>
          <w:color w:val="000000"/>
          <w:sz w:val="22"/>
        </w:rPr>
        <w:t>(5) The date contractor operations will begin on base in the U.S. or in the overseas area;</w:t>
      </w:r>
    </w:p>
    <w:p>
      <w:pPr>
        <w:pBdr>
          <w:top w:space="5"/>
          <w:left w:space="5"/>
          <w:bottom w:space="5"/>
          <w:right w:space="5"/>
        </w:pBdr>
        <w:spacing w:after="0"/>
        <w:ind w:left="585"/>
        <w:jc w:val="left"/>
      </w:pPr>
      <w:r>
        <w:rPr>
          <w:rFonts w:ascii="Times New Roman" w:hAnsi="Times New Roman"/>
          <w:b w:val="false"/>
          <w:i w:val="false"/>
          <w:color w:val="000000"/>
          <w:sz w:val="22"/>
        </w:rPr>
        <w:t>(6) The estimated completion date of operations on base in the U.S. or in the overseas area; and,</w:t>
      </w:r>
    </w:p>
    <w:p>
      <w:pPr>
        <w:pBdr>
          <w:top w:space="5"/>
          <w:left w:space="5"/>
          <w:bottom w:space="5"/>
          <w:right w:space="5"/>
        </w:pBdr>
        <w:spacing w:after="0"/>
        <w:ind w:left="585"/>
        <w:jc w:val="left"/>
      </w:pPr>
      <w:r>
        <w:rPr>
          <w:rFonts w:ascii="Times New Roman" w:hAnsi="Times New Roman"/>
          <w:b w:val="false"/>
          <w:i w:val="false"/>
          <w:color w:val="000000"/>
          <w:sz w:val="22"/>
        </w:rPr>
        <w:t>(7) Any changes to information previously provided under this clause.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9_9000" w:id="4"/>
      <w:r>
        <w:rPr>
          <w:rFonts w:ascii="Times New Roman" w:hAnsi="Times New Roman"/>
          <w:color w:val="000000"/>
          <w:sz w:val="31"/>
        </w:rPr>
        <w:t>5352.209-9000</w:t>
      </w:r>
      <w:r>
        <w:rPr>
          <w:rFonts w:ascii="Times New Roman" w:hAnsi="Times New Roman"/>
          <w:color w:val="000000"/>
          <w:sz w:val="31"/>
        </w:rPr>
        <w:t xml:space="preserve"> Organizational Conflict of Interest</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 Created by docx4j 6.1.2 (Apache licensed) using REFERENCE JAXB in Oracle Java 15 on Linux -->
    <w:p>
      <w:pPr>
        <w:pStyle w:val="Heading3"/>
        <w:spacing w:after="199"/>
        <w:ind w:left="120"/>
        <w:jc w:val="left"/>
      </w:pPr>
      <w:bookmarkStart w:name="AFFARS_5352_209_9001" w:id="5"/>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 Created by docx4j 6.1.2 (Apache licensed) using REFERENCE JAXB in Oracle Java 15 on Linux -->
    <w:p>
      <w:pPr>
        <w:pStyle w:val="Heading3"/>
        <w:spacing w:after="199"/>
        <w:ind w:left="120"/>
        <w:jc w:val="left"/>
      </w:pPr>
      <w:bookmarkStart w:name="AFFARS_5352_217_9000" w:id="6"/>
      <w:r>
        <w:rPr>
          <w:rFonts w:ascii="Times New Roman" w:hAnsi="Times New Roman"/>
          <w:color w:val="000000"/>
          <w:sz w:val="31"/>
        </w:rPr>
        <w:t>5352.217-9000</w:t>
      </w:r>
      <w:r>
        <w:rPr>
          <w:rFonts w:ascii="Times New Roman" w:hAnsi="Times New Roman"/>
          <w:color w:val="000000"/>
          <w:sz w:val="31"/>
        </w:rPr>
        <w:t xml:space="preserve"> Long Lead Limitation of Government Liability</w:t>
      </w:r>
      <w:bookmarkEnd w:id="6"/>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0" w:id="7"/>
      <w:r>
        <w:rPr>
          <w:rFonts w:ascii="Times New Roman" w:hAnsi="Times New Roman"/>
          <w:color w:val="000000"/>
          <w:sz w:val="31"/>
        </w:rPr>
        <w:t>5352.223-9000</w:t>
      </w:r>
      <w:r>
        <w:rPr>
          <w:rFonts w:ascii="Times New Roman" w:hAnsi="Times New Roman"/>
          <w:color w:val="000000"/>
          <w:sz w:val="31"/>
        </w:rPr>
        <w:t xml:space="preserve"> Elimination of Use of Class I Ozone Depleting Substances (ODS)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ELIMINATION OF USE OF CLASS I OZONE DEPLETING SUBSTANCES (ODS) (OCT 2019)</w:t>
      </w:r>
    </w:p>
    <w:p>
      <w:pPr>
        <w:pBdr>
          <w:top w:space="5"/>
          <w:left w:space="5"/>
          <w:bottom w:space="5"/>
          <w:right w:space="5"/>
        </w:pBdr>
        <w:spacing w:after="0"/>
        <w:ind w:left="225"/>
        <w:jc w:val="left"/>
      </w:pPr>
      <w:r>
        <w:rPr>
          <w:rFonts w:ascii="Times New Roman" w:hAnsi="Times New Roman"/>
          <w:b w:val="false"/>
          <w:i w:val="false"/>
          <w:color w:val="000000"/>
          <w:sz w:val="22"/>
        </w:rPr>
        <w:t>(a) Contractors shall not:</w:t>
      </w:r>
    </w:p>
    <w:p>
      <w:pPr>
        <w:pBdr>
          <w:top w:space="5"/>
          <w:left w:space="5"/>
          <w:bottom w:space="5"/>
          <w:right w:space="5"/>
        </w:pBdr>
        <w:spacing w:after="0"/>
        <w:ind w:left="585"/>
        <w:jc w:val="left"/>
      </w:pPr>
      <w:r>
        <w:rPr>
          <w:rFonts w:ascii="Times New Roman" w:hAnsi="Times New Roman"/>
          <w:b w:val="false"/>
          <w:i w:val="false"/>
          <w:color w:val="000000"/>
          <w:sz w:val="22"/>
        </w:rPr>
        <w:t>(1) Provide any service or product with any specification, standard, drawing, or other document that requires the use of a Class I ODS in the test, operation, or maintenance of any system, subsystem, item, component, or process; or</w:t>
      </w:r>
    </w:p>
    <w:p>
      <w:pPr>
        <w:pBdr>
          <w:top w:space="5"/>
          <w:left w:space="5"/>
          <w:bottom w:space="5"/>
          <w:right w:space="5"/>
        </w:pBdr>
        <w:spacing w:after="0"/>
        <w:ind w:left="585"/>
        <w:jc w:val="left"/>
      </w:pPr>
      <w:r>
        <w:rPr>
          <w:rFonts w:ascii="Times New Roman" w:hAnsi="Times New Roman"/>
          <w:b w:val="false"/>
          <w:i w:val="false"/>
          <w:color w:val="000000"/>
          <w:sz w:val="22"/>
        </w:rPr>
        <w:t>(2) Provide any specification, standard, drawing, or other document that establishes a test, operation, or maintenance requirement that can only be met by use of a Class I ODS as part of this contract/order.</w:t>
      </w:r>
    </w:p>
    <w:p>
      <w:pPr>
        <w:pStyle w:val="Normal"/>
        <w:pBdr>
          <w:top w:space="5"/>
          <w:left w:space="5"/>
          <w:bottom w:space="5"/>
          <w:right w:space="5"/>
        </w:pBdr>
        <w:spacing w:after="0"/>
        <w:ind w:left="225"/>
        <w:jc w:val="left"/>
      </w:pPr>
      <w:r>
        <w:rPr>
          <w:rFonts w:ascii="Times New Roman" w:hAnsi="Times New Roman"/>
          <w:color w:val="000000"/>
        </w:rPr>
        <w:t>[Note: This prohibition does not apply to manufacturing.]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purposes of Air Force policy, the following products that are pure (i.e., they meet the relevant product specification identified in </w:t>
      </w:r>
      <w:hyperlink r:id="Ra2963db8669146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are Class I ODSs:</w:t>
      </w:r>
    </w:p>
    <w:p>
      <w:pPr>
        <w:pBdr>
          <w:top w:space="5"/>
          <w:left w:space="5"/>
          <w:bottom w:space="5"/>
          <w:right w:space="5"/>
        </w:pBdr>
        <w:spacing w:after="0"/>
        <w:ind w:left="585"/>
        <w:jc w:val="left"/>
      </w:pPr>
      <w:r>
        <w:rPr>
          <w:rFonts w:ascii="Times New Roman" w:hAnsi="Times New Roman"/>
          <w:b w:val="false"/>
          <w:i w:val="false"/>
          <w:color w:val="000000"/>
          <w:sz w:val="22"/>
        </w:rPr>
        <w:t>(1) Halons: 1011, 1202, 1211, 1301, and 2402;</w:t>
      </w:r>
    </w:p>
    <w:p>
      <w:pPr>
        <w:pBdr>
          <w:top w:space="5"/>
          <w:left w:space="5"/>
          <w:bottom w:space="5"/>
          <w:right w:space="5"/>
        </w:pBdr>
        <w:spacing w:after="0"/>
        <w:ind w:left="585"/>
        <w:jc w:val="left"/>
      </w:pPr>
      <w:r>
        <w:rPr>
          <w:rFonts w:ascii="Times New Roman" w:hAnsi="Times New Roman"/>
          <w:b w:val="false"/>
          <w:i w:val="false"/>
          <w:color w:val="000000"/>
          <w:sz w:val="22"/>
        </w:rPr>
        <w:t>(2) Chlorofluorocarbons (CFCs): CFC-11, CFC-12, CFC-13, CFC-111, CFC-112, CFC-113, CFC-114, CFC-115, CFC-211, CFC-212, CFC-213, CFC-214, CFC-215, CFC-216, and CFC-217, and the blends R-500, R-501, R-502, and R-503; and</w:t>
      </w:r>
    </w:p>
    <w:p>
      <w:pPr>
        <w:pBdr>
          <w:top w:space="5"/>
          <w:left w:space="5"/>
          <w:bottom w:space="5"/>
          <w:right w:space="5"/>
        </w:pBdr>
        <w:spacing w:after="0"/>
        <w:ind w:left="585"/>
        <w:jc w:val="left"/>
      </w:pPr>
      <w:r>
        <w:rPr>
          <w:rFonts w:ascii="Times New Roman" w:hAnsi="Times New Roman"/>
          <w:b w:val="false"/>
          <w:i w:val="false"/>
          <w:color w:val="000000"/>
          <w:sz w:val="22"/>
        </w:rPr>
        <w:t>(3) Carbon Tetrachloride, Methyl Chloroform, and Methyl Bromide.</w:t>
      </w:r>
    </w:p>
    <w:p>
      <w:pPr>
        <w:pBdr>
          <w:top w:space="5"/>
          <w:left w:space="5"/>
          <w:bottom w:space="5"/>
          <w:right w:space="5"/>
        </w:pBdr>
        <w:spacing w:after="0"/>
        <w:ind w:left="225"/>
        <w:jc w:val="left"/>
      </w:pPr>
      <w:r>
        <w:rPr>
          <w:rFonts w:ascii="Times New Roman" w:hAnsi="Times New Roman"/>
          <w:b w:val="false"/>
          <w:i w:val="false"/>
          <w:color w:val="000000"/>
          <w:sz w:val="22"/>
        </w:rPr>
        <w:t>[NOTE: Material that uses one or more of these Class I ODSs as minor constituents do not meet the Air Force definition of a Class I ODS.]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1" w:id="8"/>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8_9101" w:id="9"/>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2ae8aa84835645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Style w:val="Normal"/>
        <w:pBdr>
          <w:top w:space="5"/>
          <w:left w:space="5"/>
          <w:bottom w:space="5"/>
          <w:right w:space="5"/>
        </w:pBdr>
        <w:spacing w:after="0"/>
        <w:ind w:left="225"/>
        <w:jc w:val="left"/>
      </w:pPr>
      <w:r>
        <w:rPr>
          <w:rFonts w:ascii="Times New Roman" w:hAnsi="Times New Roman"/>
          <w:b/>
          <w:color w:val="000000"/>
        </w:rPr>
        <w:t>CERTIFICATE OF INSURANCE COVERAGE OF THE CIVIL LIABILITY REFERRED TO UNDER ARTICLE 5 OF ANNEX 6 TO THE AGREEMENT BETWEEN THE KINGDOM OF SPAIN AND THE UNITED STATES OF AMERICA ON COOPERATION FOR THE DEFENSE.</w:t>
      </w:r>
    </w:p>
    <w:p>
      <w:pPr>
        <w:pStyle w:val="Normal"/>
        <w:pBdr>
          <w:top w:space="5"/>
          <w:left w:space="5"/>
          <w:bottom w:space="5"/>
          <w:right w:space="5"/>
        </w:pBdr>
        <w:spacing w:after="0"/>
        <w:ind w:left="225"/>
        <w:jc w:val="left"/>
      </w:pPr>
      <w:r>
        <w:rPr>
          <w:rFonts w:ascii="Times New Roman" w:hAnsi="Times New Roman"/>
          <w:color w:val="000000"/>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Style w:val="Normal"/>
        <w:pBdr>
          <w:top w:space="5"/>
          <w:left w:space="5"/>
          <w:bottom w:space="5"/>
          <w:right w:space="5"/>
        </w:pBdr>
        <w:spacing w:after="0"/>
        <w:ind w:left="225"/>
        <w:jc w:val="left"/>
      </w:pPr>
      <w:r>
        <w:rPr>
          <w:rFonts w:ascii="Times New Roman" w:hAnsi="Times New Roman"/>
          <w:color w:val="000000"/>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Style w:val="Normal"/>
        <w:pBdr>
          <w:top w:space="5"/>
          <w:left w:space="5"/>
          <w:bottom w:space="5"/>
          <w:right w:space="5"/>
        </w:pBdr>
        <w:spacing w:after="0"/>
        <w:ind w:left="225"/>
        <w:jc w:val="left"/>
      </w:pPr>
      <w:r>
        <w:rPr>
          <w:rFonts w:ascii="Times New Roman" w:hAnsi="Times New Roman"/>
          <w:b/>
          <w:color w:val="000000"/>
          <w:u w:val="single"/>
        </w:rPr>
        <w:t>INDEMNITY LIMITS</w:t>
      </w:r>
      <w:r>
        <w:rPr>
          <w:rFonts w:ascii="Times New Roman" w:hAnsi="Times New Roman"/>
          <w:color w:val="000000"/>
          <w:u w:val="single"/>
        </w:rPr>
        <w:t>:</w:t>
      </w:r>
    </w:p>
    <w:p>
      <w:pPr>
        <w:pStyle w:val="Normal"/>
        <w:pBdr>
          <w:top w:space="5"/>
          <w:left w:space="5"/>
          <w:bottom w:space="5"/>
          <w:right w:space="5"/>
        </w:pBdr>
        <w:spacing w:after="0"/>
        <w:ind w:left="225"/>
        <w:jc w:val="left"/>
      </w:pPr>
      <w:r>
        <w:rPr>
          <w:rFonts w:ascii="Times New Roman" w:hAnsi="Times New Roman"/>
          <w:color w:val="000000"/>
        </w:rPr>
        <w:t>- For casualty: --------------------------601,012.10 Euros</w:t>
      </w:r>
    </w:p>
    <w:p>
      <w:pPr>
        <w:pStyle w:val="Normal"/>
        <w:pBdr>
          <w:top w:space="5"/>
          <w:left w:space="5"/>
          <w:bottom w:space="5"/>
          <w:right w:space="5"/>
        </w:pBdr>
        <w:spacing w:after="0"/>
        <w:ind w:left="225"/>
        <w:jc w:val="left"/>
      </w:pPr>
      <w:r>
        <w:rPr>
          <w:rFonts w:ascii="Times New Roman" w:hAnsi="Times New Roman"/>
          <w:color w:val="000000"/>
        </w:rPr>
        <w:t>With the following sub-limits for each injured person:</w:t>
      </w:r>
    </w:p>
    <w:p>
      <w:pPr>
        <w:pStyle w:val="Normal"/>
        <w:pBdr>
          <w:top w:space="5"/>
          <w:left w:space="5"/>
          <w:bottom w:space="5"/>
          <w:right w:space="5"/>
        </w:pBdr>
        <w:spacing w:after="0"/>
        <w:ind w:left="225"/>
        <w:jc w:val="left"/>
      </w:pPr>
      <w:r>
        <w:rPr>
          <w:rFonts w:ascii="Times New Roman" w:hAnsi="Times New Roman"/>
          <w:color w:val="000000"/>
        </w:rPr>
        <w:t>- For personal liability: ----------------90,151.82 Euros</w:t>
      </w:r>
    </w:p>
    <w:p>
      <w:pPr>
        <w:pStyle w:val="Normal"/>
        <w:pBdr>
          <w:top w:space="5"/>
          <w:left w:space="5"/>
          <w:bottom w:space="5"/>
          <w:right w:space="5"/>
        </w:pBdr>
        <w:spacing w:after="0"/>
        <w:ind w:left="225"/>
        <w:jc w:val="left"/>
      </w:pPr>
      <w:r>
        <w:rPr>
          <w:rFonts w:ascii="Times New Roman" w:hAnsi="Times New Roman"/>
          <w:color w:val="000000"/>
        </w:rPr>
        <w:t>- For property damage: ---------------- 60,101.21 Euros</w:t>
      </w:r>
    </w:p>
    <w:p>
      <w:pPr>
        <w:pStyle w:val="Normal"/>
        <w:pBdr>
          <w:top w:space="5"/>
          <w:left w:space="5"/>
          <w:bottom w:space="5"/>
          <w:right w:space="5"/>
        </w:pBdr>
        <w:spacing w:after="0"/>
        <w:ind w:left="225"/>
        <w:jc w:val="left"/>
      </w:pPr>
      <w:r>
        <w:rPr>
          <w:rFonts w:ascii="Times New Roman" w:hAnsi="Times New Roman"/>
          <w:color w:val="000000"/>
        </w:rPr>
        <w:t>- For Judiciary Bond: -------------------- 6,010.12 Euros</w:t>
      </w:r>
    </w:p>
    <w:p>
      <w:pPr>
        <w:pStyle w:val="Normal"/>
        <w:pBdr>
          <w:top w:space="5"/>
          <w:left w:space="5"/>
          <w:bottom w:space="5"/>
          <w:right w:space="5"/>
        </w:pBdr>
        <w:spacing w:after="0"/>
        <w:ind w:left="225"/>
        <w:jc w:val="left"/>
      </w:pPr>
      <w:r>
        <w:rPr>
          <w:rFonts w:ascii="Times New Roman" w:hAnsi="Times New Roman"/>
          <w:color w:val="000000"/>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Normal"/>
        <w:pBdr>
          <w:top w:space="5"/>
          <w:left w:space="5"/>
          <w:bottom w:space="5"/>
          <w:right w:space="5"/>
        </w:pBdr>
        <w:spacing w:after="0"/>
        <w:ind w:left="225"/>
        <w:jc w:val="left"/>
      </w:pPr>
      <w:r>
        <w:rPr>
          <w:rFonts w:ascii="Times New Roman" w:hAnsi="Times New Roman"/>
          <w:color w:val="000000"/>
        </w:rPr>
        <w:t>The policy sets forth the following clauses:</w:t>
      </w:r>
    </w:p>
    <w:p>
      <w:pPr>
        <w:pStyle w:val="Normal"/>
        <w:pBdr>
          <w:top w:space="5"/>
          <w:left w:space="5"/>
          <w:bottom w:space="5"/>
          <w:right w:space="5"/>
        </w:pBdr>
        <w:spacing w:after="0"/>
        <w:ind w:left="225"/>
        <w:jc w:val="left"/>
      </w:pPr>
      <w:r>
        <w:rPr>
          <w:rFonts w:ascii="Times New Roman" w:hAnsi="Times New Roman"/>
          <w:color w:val="000000"/>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Style w:val="Normal"/>
        <w:pBdr>
          <w:top w:space="5"/>
          <w:left w:space="5"/>
          <w:bottom w:space="5"/>
          <w:right w:space="5"/>
        </w:pBdr>
        <w:spacing w:after="0"/>
        <w:ind w:left="225"/>
        <w:jc w:val="left"/>
      </w:pPr>
      <w:r>
        <w:rPr>
          <w:rFonts w:ascii="Times New Roman" w:hAnsi="Times New Roman"/>
          <w:color w:val="000000"/>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 xml:space="preserve">For the Insured Company </w:t>
            </w:r>
            <w:r>
              <w:rPr>
                <w:rFonts w:ascii="Times New Roman" w:hAnsi="Times New Roman"/>
                <w:i/>
                <w:color w:val="000000"/>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 xml:space="preserve">For the Insurance </w:t>
            </w:r>
            <w:r>
              <w:rPr>
                <w:rFonts w:ascii="Times New Roman" w:hAnsi="Times New Roman"/>
                <w:i/>
                <w:color w:val="000000"/>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Style w:val="Normal"/>
        <w:pBdr>
          <w:top w:space="5"/>
          <w:left w:space="5"/>
          <w:bottom w:space="5"/>
          <w:right w:space="5"/>
        </w:pBdr>
        <w:spacing w:after="0"/>
        <w:ind w:left="225"/>
        <w:jc w:val="left"/>
      </w:pPr>
      <w:r>
        <w:rPr>
          <w:rFonts w:ascii="Times New Roman" w:hAnsi="Times New Roman"/>
          <w:b/>
          <w:color w:val="000000"/>
        </w:rPr>
        <w:t>CERTIFICADO DE COBERTURA DE SEGURO DE LA RESPONSABILIDAD CIVIL A QUE SE REFIERE EL ARTICULO 5 DEL ANEXO 6 AL CONVENIO ENTRE EL</w:t>
      </w:r>
      <w:r>
        <w:rPr>
          <w:rFonts w:ascii="Times New Roman" w:hAnsi="Times New Roman"/>
          <w:color w:val="000000"/>
        </w:rPr>
        <w:t xml:space="preserve"> </w:t>
      </w:r>
      <w:r>
        <w:rPr>
          <w:rFonts w:ascii="Times New Roman" w:hAnsi="Times New Roman"/>
          <w:b/>
          <w:color w:val="000000"/>
        </w:rPr>
        <w:t>REINO DE ESPAÑA Y LOS ESTADOS UNIDOS DE AMERICA SOBRE COOPERACION PARA LA DEFENSA.</w:t>
      </w:r>
    </w:p>
    <w:p>
      <w:pPr>
        <w:pStyle w:val="Normal"/>
        <w:pBdr>
          <w:top w:space="5"/>
          <w:left w:space="5"/>
          <w:bottom w:space="5"/>
          <w:right w:space="5"/>
        </w:pBdr>
        <w:spacing w:after="0"/>
        <w:ind w:left="225"/>
        <w:jc w:val="left"/>
      </w:pPr>
      <w:r>
        <w:rPr>
          <w:rFonts w:ascii="Times New Roman" w:hAnsi="Times New Roman"/>
          <w:color w:val="000000"/>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Normal"/>
        <w:pBdr>
          <w:top w:space="5"/>
          <w:left w:space="5"/>
          <w:bottom w:space="5"/>
          <w:right w:space="5"/>
        </w:pBdr>
        <w:spacing w:after="0"/>
        <w:ind w:left="225"/>
        <w:jc w:val="left"/>
      </w:pPr>
      <w:r>
        <w:rPr>
          <w:rFonts w:ascii="Times New Roman" w:hAnsi="Times New Roman"/>
          <w:color w:val="000000"/>
        </w:rPr>
        <w:t>La Póliza establece como cobertura de los riesgos mencionados las siguientes cuantías:</w:t>
      </w:r>
    </w:p>
    <w:p>
      <w:pPr>
        <w:pStyle w:val="Normal"/>
        <w:pBdr>
          <w:top w:space="5"/>
          <w:left w:space="5"/>
          <w:bottom w:space="5"/>
          <w:right w:space="5"/>
        </w:pBdr>
        <w:spacing w:after="0"/>
        <w:ind w:left="225"/>
        <w:jc w:val="left"/>
      </w:pPr>
      <w:r>
        <w:rPr>
          <w:rFonts w:ascii="Times New Roman" w:hAnsi="Times New Roman"/>
          <w:b/>
          <w:color w:val="000000"/>
          <w:u w:val="single"/>
        </w:rPr>
        <w:t>LIMITES DE INDEMNIZACION:</w:t>
      </w:r>
    </w:p>
    <w:p>
      <w:pPr>
        <w:pStyle w:val="Normal"/>
        <w:pBdr>
          <w:top w:space="5"/>
          <w:left w:space="5"/>
          <w:bottom w:space="5"/>
          <w:right w:space="5"/>
        </w:pBdr>
        <w:spacing w:after="0"/>
        <w:ind w:left="225"/>
        <w:jc w:val="left"/>
      </w:pPr>
      <w:r>
        <w:rPr>
          <w:rFonts w:ascii="Times New Roman" w:hAnsi="Times New Roman"/>
          <w:color w:val="000000"/>
        </w:rPr>
        <w:t>- Por siniestro: -------------------------- 601.012,10 Euros</w:t>
      </w:r>
    </w:p>
    <w:p>
      <w:pPr>
        <w:pStyle w:val="Normal"/>
        <w:pBdr>
          <w:top w:space="5"/>
          <w:left w:space="5"/>
          <w:bottom w:space="5"/>
          <w:right w:space="5"/>
        </w:pBdr>
        <w:spacing w:after="0"/>
        <w:ind w:left="225"/>
        <w:jc w:val="left"/>
      </w:pPr>
      <w:r>
        <w:rPr>
          <w:rFonts w:ascii="Times New Roman" w:hAnsi="Times New Roman"/>
          <w:color w:val="000000"/>
        </w:rPr>
        <w:t>Con los siguientes sublímites por perjudicado:</w:t>
      </w:r>
    </w:p>
    <w:p>
      <w:pPr>
        <w:pStyle w:val="Normal"/>
        <w:pBdr>
          <w:top w:space="5"/>
          <w:left w:space="5"/>
          <w:bottom w:space="5"/>
          <w:right w:space="5"/>
        </w:pBdr>
        <w:spacing w:after="0"/>
        <w:ind w:left="225"/>
        <w:jc w:val="left"/>
      </w:pPr>
      <w:r>
        <w:rPr>
          <w:rFonts w:ascii="Times New Roman" w:hAnsi="Times New Roman"/>
          <w:color w:val="000000"/>
        </w:rPr>
        <w:t>- Por daños personales: ---------------- 90.151,82 Euros</w:t>
      </w:r>
    </w:p>
    <w:p>
      <w:pPr>
        <w:pStyle w:val="Normal"/>
        <w:pBdr>
          <w:top w:space="5"/>
          <w:left w:space="5"/>
          <w:bottom w:space="5"/>
          <w:right w:space="5"/>
        </w:pBdr>
        <w:spacing w:after="0"/>
        <w:ind w:left="225"/>
        <w:jc w:val="left"/>
      </w:pPr>
      <w:r>
        <w:rPr>
          <w:rFonts w:ascii="Times New Roman" w:hAnsi="Times New Roman"/>
          <w:color w:val="000000"/>
        </w:rPr>
        <w:t>- Por daños materiales: ---------------- 60.101,21 Euros</w:t>
      </w:r>
    </w:p>
    <w:p>
      <w:pPr>
        <w:pStyle w:val="Normal"/>
        <w:pBdr>
          <w:top w:space="5"/>
          <w:left w:space="5"/>
          <w:bottom w:space="5"/>
          <w:right w:space="5"/>
        </w:pBdr>
        <w:spacing w:after="0"/>
        <w:ind w:left="225"/>
        <w:jc w:val="left"/>
      </w:pPr>
      <w:r>
        <w:rPr>
          <w:rFonts w:ascii="Times New Roman" w:hAnsi="Times New Roman"/>
          <w:color w:val="000000"/>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Normal"/>
        <w:pBdr>
          <w:top w:space="5"/>
          <w:left w:space="5"/>
          <w:bottom w:space="5"/>
          <w:right w:space="5"/>
        </w:pBdr>
        <w:spacing w:after="0"/>
        <w:ind w:left="225"/>
        <w:jc w:val="left"/>
      </w:pPr>
      <w:r>
        <w:rPr>
          <w:rFonts w:ascii="Times New Roman" w:hAnsi="Times New Roman"/>
          <w:color w:val="000000"/>
        </w:rPr>
        <w:t>La Póliza establece las siguientes cláusulas:</w:t>
      </w:r>
    </w:p>
    <w:p>
      <w:pPr>
        <w:pStyle w:val="Normal"/>
        <w:pBdr>
          <w:top w:space="5"/>
          <w:left w:space="5"/>
          <w:bottom w:space="5"/>
          <w:right w:space="5"/>
        </w:pBdr>
        <w:spacing w:after="0"/>
        <w:ind w:left="225"/>
        <w:jc w:val="left"/>
      </w:pPr>
      <w:r>
        <w:rPr>
          <w:rFonts w:ascii="Times New Roman" w:hAnsi="Times New Roman"/>
          <w:color w:val="000000"/>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Style w:val="Normal"/>
        <w:pBdr>
          <w:top w:space="5"/>
          <w:left w:space="5"/>
          <w:bottom w:space="5"/>
          <w:right w:space="5"/>
        </w:pBdr>
        <w:spacing w:after="0"/>
        <w:ind w:left="225"/>
        <w:jc w:val="left"/>
      </w:pPr>
      <w:r>
        <w:rPr>
          <w:rFonts w:ascii="Times New Roman" w:hAnsi="Times New Roman"/>
          <w:color w:val="000000"/>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Style w:val="Normal"/>
              <w:pBdr>
                <w:top w:space="5"/>
                <w:left w:space="5"/>
                <w:bottom w:space="5"/>
                <w:right w:space="5"/>
              </w:pBdr>
              <w:spacing w:after="0"/>
              <w:ind w:left="240"/>
              <w:jc w:val="left"/>
            </w:pPr>
            <w:r>
              <w:rPr>
                <w:rFonts w:ascii="Times New Roman" w:hAnsi="Times New Roman"/>
                <w:color w:val="000000"/>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0" w:id="10"/>
      <w:r>
        <w:rPr>
          <w:rFonts w:ascii="Times New Roman" w:hAnsi="Times New Roman"/>
          <w:color w:val="000000"/>
          <w:sz w:val="31"/>
        </w:rPr>
        <w:t>5352.242-9000</w:t>
      </w:r>
      <w:r>
        <w:rPr>
          <w:rFonts w:ascii="Times New Roman" w:hAnsi="Times New Roman"/>
          <w:color w:val="000000"/>
          <w:sz w:val="31"/>
        </w:rPr>
        <w:t xml:space="preserve"> Contractor Access to Air Force Installations</w:t>
      </w:r>
      <w:bookmarkEnd w:id="10"/>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ce04125701d44d3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a0867e44e298443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1" w:id="11"/>
      <w:r>
        <w:rPr>
          <w:rFonts w:ascii="Times New Roman" w:hAnsi="Times New Roman"/>
          <w:color w:val="000000"/>
          <w:sz w:val="31"/>
        </w:rPr>
        <w:t>5352.242-9001</w:t>
      </w:r>
      <w:r>
        <w:rPr>
          <w:rFonts w:ascii="Times New Roman" w:hAnsi="Times New Roman"/>
          <w:color w:val="000000"/>
          <w:sz w:val="31"/>
        </w:rPr>
        <w:t xml:space="preserve"> Common Access Cards (CAC) for Contractor Personnel</w:t>
      </w:r>
      <w:bookmarkEnd w:id="11"/>
    </w:p>
    <w:p>
      <w:pPr>
        <w:pStyle w:val="Normal"/>
        <w:pBdr>
          <w:top w:space="5"/>
          <w:left w:space="5"/>
          <w:bottom w:space="5"/>
          <w:right w:space="5"/>
        </w:pBdr>
        <w:spacing w:after="0"/>
        <w:ind w:left="225"/>
        <w:jc w:val="left"/>
      </w:pPr>
      <w:r>
        <w:rPr>
          <w:rFonts w:ascii="Times New Roman" w:hAnsi="Times New Roman"/>
          <w:color w:val="000000"/>
        </w:rPr>
        <w:t xml:space="preserve">As prescribed in </w:t>
      </w:r>
      <w:r>
        <w:rPr>
          <w:rFonts w:ascii="Times New Roman" w:hAnsi="Times New Roman"/>
          <w:color w:val="000000"/>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COMMON ACCESS CARDS (CAC) FOR CONTRACTOR PERSONNEL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installation(s)/location(s) cited in the contract, contractors shall ensure Common Access Cards (CACs) are obtained by all contract or subcontract personnel who meet one or both of the following criteria:</w:t>
      </w:r>
    </w:p>
    <w:p>
      <w:pPr>
        <w:pBdr>
          <w:top w:space="5"/>
          <w:left w:space="5"/>
          <w:bottom w:space="5"/>
          <w:right w:space="5"/>
        </w:pBdr>
        <w:spacing w:after="0"/>
        <w:ind w:left="585"/>
        <w:jc w:val="left"/>
      </w:pPr>
      <w:r>
        <w:rPr>
          <w:rFonts w:ascii="Times New Roman" w:hAnsi="Times New Roman"/>
          <w:b w:val="false"/>
          <w:i w:val="false"/>
          <w:color w:val="000000"/>
          <w:sz w:val="22"/>
        </w:rPr>
        <w:t>(1) Require logical access to Department of Defense computer networks and systems in either:</w:t>
      </w:r>
    </w:p>
    <w:p>
      <w:pPr>
        <w:pBdr>
          <w:top w:space="5"/>
          <w:left w:space="5"/>
          <w:bottom w:space="5"/>
          <w:right w:space="5"/>
        </w:pBdr>
        <w:spacing w:after="0"/>
        <w:ind w:left="945"/>
        <w:jc w:val="left"/>
      </w:pPr>
      <w:r>
        <w:rPr>
          <w:rFonts w:ascii="Times New Roman" w:hAnsi="Times New Roman"/>
          <w:b w:val="false"/>
          <w:i w:val="false"/>
          <w:color w:val="000000"/>
          <w:sz w:val="22"/>
        </w:rPr>
        <w:t>(i) the unclassified environment; or</w:t>
      </w:r>
    </w:p>
    <w:p>
      <w:pPr>
        <w:pBdr>
          <w:top w:space="5"/>
          <w:left w:space="5"/>
          <w:bottom w:space="5"/>
          <w:right w:space="5"/>
        </w:pBdr>
        <w:spacing w:after="0"/>
        <w:ind w:left="945"/>
        <w:jc w:val="left"/>
      </w:pPr>
      <w:r>
        <w:rPr>
          <w:rFonts w:ascii="Times New Roman" w:hAnsi="Times New Roman"/>
          <w:b w:val="false"/>
          <w:i w:val="false"/>
          <w:color w:val="000000"/>
          <w:sz w:val="22"/>
        </w:rPr>
        <w:t>(ii) the classified environment where authorized by governing security directives.</w:t>
      </w:r>
    </w:p>
    <w:p>
      <w:pPr>
        <w:pBdr>
          <w:top w:space="5"/>
          <w:left w:space="5"/>
          <w:bottom w:space="5"/>
          <w:right w:space="5"/>
        </w:pBdr>
        <w:spacing w:after="0"/>
        <w:ind w:left="585"/>
        <w:jc w:val="left"/>
      </w:pPr>
      <w:r>
        <w:rPr>
          <w:rFonts w:ascii="Times New Roman" w:hAnsi="Times New Roman"/>
          <w:b w:val="false"/>
          <w:i w:val="false"/>
          <w:color w:val="000000"/>
          <w:sz w:val="22"/>
        </w:rPr>
        <w:t>(2)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(b) Contractors and their personnel shall use the following procedures to obtain CACs:</w:t>
      </w:r>
    </w:p>
    <w:p>
      <w:pPr>
        <w:pBdr>
          <w:top w:space="5"/>
          <w:left w:space="5"/>
          <w:bottom w:space="5"/>
          <w:right w:space="5"/>
        </w:pBdr>
        <w:spacing w:after="0"/>
        <w:ind w:left="585"/>
        <w:jc w:val="left"/>
      </w:pPr>
      <w:r>
        <w:rPr>
          <w:rFonts w:ascii="Times New Roman" w:hAnsi="Times New Roman"/>
          <w:b w:val="false"/>
          <w:i w:val="false"/>
          <w:color w:val="000000"/>
          <w:sz w:val="22"/>
        </w:rP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Bdr>
          <w:top w:space="5"/>
          <w:left w:space="5"/>
          <w:bottom w:space="5"/>
          <w:right w:space="5"/>
        </w:pBdr>
        <w:spacing w:after="0"/>
        <w:ind w:left="585"/>
        <w:jc w:val="left"/>
      </w:pPr>
      <w:r>
        <w:rPr>
          <w:rFonts w:ascii="Times New Roman" w:hAnsi="Times New Roman"/>
          <w:b w:val="false"/>
          <w:i w:val="false"/>
          <w:color w:val="000000"/>
          <w:sz w:val="22"/>
        </w:rPr>
        <w:t>(2) Contractor personnel shall obtain a CAC from the nearest Real Time Automated Personnel Identification Documentation System (RAPIDS) Issuing Facility (typically the local Military Personnel Flight (MPF)).</w:t>
      </w:r>
    </w:p>
    <w:p>
      <w:pPr>
        <w:pBdr>
          <w:top w:space="5"/>
          <w:left w:space="5"/>
          <w:bottom w:space="5"/>
          <w:right w:space="5"/>
        </w:pBdr>
        <w:spacing w:after="0"/>
        <w:ind w:left="225"/>
        <w:jc w:val="left"/>
      </w:pPr>
      <w:r>
        <w:rPr>
          <w:rFonts w:ascii="Times New Roman" w:hAnsi="Times New Roman"/>
          <w:b w:val="false"/>
          <w:i w:val="false"/>
          <w:color w:val="000000"/>
          <w:sz w:val="22"/>
        </w:rPr>
        <w:t>(c) While visiting or performing work on installation(s)/location(s), contractor personnel shall wear or prominently display the CAC as required by the governing local policy.</w:t>
      </w:r>
    </w:p>
    <w:p>
      <w:pPr>
        <w:pBdr>
          <w:top w:space="5"/>
          <w:left w:space="5"/>
          <w:bottom w:space="5"/>
          <w:right w:space="5"/>
        </w:pBdr>
        <w:spacing w:after="0"/>
        <w:ind w:left="225"/>
        <w:jc w:val="left"/>
      </w:pPr>
      <w:r>
        <w:rPr>
          <w:rFonts w:ascii="Times New Roman" w:hAnsi="Times New Roman"/>
          <w:b w:val="false"/>
          <w:i w:val="false"/>
          <w:color w:val="000000"/>
          <w:sz w:val="22"/>
        </w:rPr>
        <w:t>(d) During the performance period of the contract,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Within 7 working days of any changes to the listing of the contract personnel authorized a CAC, provide an updated listing to the contracting officer who will provide the updated listing to the authorizing government official;</w:t>
      </w:r>
    </w:p>
    <w:p>
      <w:pPr>
        <w:pBdr>
          <w:top w:space="5"/>
          <w:left w:space="5"/>
          <w:bottom w:space="5"/>
          <w:right w:space="5"/>
        </w:pBdr>
        <w:spacing w:after="0"/>
        <w:ind w:left="585"/>
        <w:jc w:val="left"/>
      </w:pPr>
      <w:r>
        <w:rPr>
          <w:rFonts w:ascii="Times New Roman" w:hAnsi="Times New Roman"/>
          <w:b w:val="false"/>
          <w:i w:val="false"/>
          <w:color w:val="000000"/>
          <w:sz w:val="22"/>
        </w:rPr>
        <w:t>(2) Return CACs in accordance with local policy/directives within 7 working days of a change in status for contractor personnel who no longer require logical or physical access;</w:t>
      </w:r>
    </w:p>
    <w:p>
      <w:pPr>
        <w:pBdr>
          <w:top w:space="5"/>
          <w:left w:space="5"/>
          <w:bottom w:space="5"/>
          <w:right w:space="5"/>
        </w:pBdr>
        <w:spacing w:after="0"/>
        <w:ind w:left="585"/>
        <w:jc w:val="left"/>
      </w:pPr>
      <w:r>
        <w:rPr>
          <w:rFonts w:ascii="Times New Roman" w:hAnsi="Times New Roman"/>
          <w:b w:val="false"/>
          <w:i w:val="false"/>
          <w:color w:val="000000"/>
          <w:sz w:val="22"/>
        </w:rPr>
        <w:t>(3) Return CACs in accordance with local policy/directives within 7 working days following a CACs expiration date; and</w:t>
      </w:r>
    </w:p>
    <w:p>
      <w:pPr>
        <w:pBdr>
          <w:top w:space="5"/>
          <w:left w:space="5"/>
          <w:bottom w:space="5"/>
          <w:right w:space="5"/>
        </w:pBdr>
        <w:spacing w:after="0"/>
        <w:ind w:left="585"/>
        <w:jc w:val="left"/>
      </w:pPr>
      <w:r>
        <w:rPr>
          <w:rFonts w:ascii="Times New Roman" w:hAnsi="Times New Roman"/>
          <w:b w:val="false"/>
          <w:i w:val="false"/>
          <w:color w:val="000000"/>
          <w:sz w:val="22"/>
        </w:rPr>
        <w:t>(4) Report lost or stolen CACs in accordance with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(e) Within 7 working days following completion/termination of the contract, the contractor shall return all CACs issued to their personnel to the issuing office or the location specified by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pgNumType w:start="1"/>
      <w:footerReference w:type="default" r:id="Rdee1871e53be4df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ee1871e53be4dff" /><Relationship Type="http://schemas.openxmlformats.org/officeDocument/2006/relationships/hyperlink" Target="https://usaf.dps.mil/sites/AFCC/KnowledgeCenter/Pages/5352.aspx" TargetMode="External" Id="R15e04db416a44859" /><Relationship Type="http://schemas.openxmlformats.org/officeDocument/2006/relationships/hyperlink" Target="SUBPART_5352_2.dita#AFFARS_SUBPART_5352_2" TargetMode="External" Id="R9f2d7f97f0a54236" /><Relationship Type="http://schemas.openxmlformats.org/officeDocument/2006/relationships/hyperlink" Target="5352_201_9101.dita#AFFARS_5352_201_9101" TargetMode="External" Id="R093aa2629464423d" /><Relationship Type="http://schemas.openxmlformats.org/officeDocument/2006/relationships/hyperlink" Target="5352_204_9000.dita#AFFARS_5352_204_9000" TargetMode="External" Id="R80faf0b6d25d4f51" /><Relationship Type="http://schemas.openxmlformats.org/officeDocument/2006/relationships/hyperlink" Target="5352_209_9000.dita#AFFARS_5352_209_9000" TargetMode="External" Id="R1079246238ce49f0" /><Relationship Type="http://schemas.openxmlformats.org/officeDocument/2006/relationships/hyperlink" Target="5352_209_9001.dita#AFFARS_5352_209_9001" TargetMode="External" Id="R5971f80a1f644322" /><Relationship Type="http://schemas.openxmlformats.org/officeDocument/2006/relationships/hyperlink" Target="5352_217_9000.dita#AFFARS_5352_217_9000" TargetMode="External" Id="R1a2e0d58bbdd4033" /><Relationship Type="http://schemas.openxmlformats.org/officeDocument/2006/relationships/hyperlink" Target="5352_223_9000.dita#AFFARS_5352_223_9000" TargetMode="External" Id="R2c892c5e45484c4b" /><Relationship Type="http://schemas.openxmlformats.org/officeDocument/2006/relationships/hyperlink" Target="5352_223_9001.dita#AFFARS_5352_223_9001" TargetMode="External" Id="R92681c9c3fdc4c88" /><Relationship Type="http://schemas.openxmlformats.org/officeDocument/2006/relationships/hyperlink" Target="5352_228_9101.dita#AFFARS_5352_228_9101" TargetMode="External" Id="R4c5fb74adab34a3d" /><Relationship Type="http://schemas.openxmlformats.org/officeDocument/2006/relationships/hyperlink" Target="5352_242_9000.dita#AFFARS_5352_242_9000" TargetMode="External" Id="R6f2f74328f704f7e" /><Relationship Type="http://schemas.openxmlformats.org/officeDocument/2006/relationships/hyperlink" Target="5352_242_9001.dita#AFFARS_5352_242_9001" TargetMode="External" Id="Rf833d91ea0a44440" /><Relationship Type="http://schemas.openxmlformats.org/officeDocument/2006/relationships/hyperlink" Target="http://www.esd.whs.mil/Portals/54/Documents/DD/forms/dd/dd0254.pdf" TargetMode="External" Id="Re88ff117b9714646" /><Relationship Type="http://schemas.openxmlformats.org/officeDocument/2006/relationships/hyperlink" Target="http://www.esd.whs.mil/Portals/54/Documents/DD/forms/dd/dd0254.pdf" TargetMode="External" Id="Rbfbf83dc7c6c4569" /><Relationship Type="http://schemas.openxmlformats.org/officeDocument/2006/relationships/hyperlink" Target="http://www.esd.whs.mil/Portals/54/Documents/DD/forms/dd/dd0254.pdf" TargetMode="External" Id="R4f227659f2154bec" /><Relationship Type="http://schemas.openxmlformats.org/officeDocument/2006/relationships/hyperlink" Target="http://static.e-publishing.af.mil/production/1/af_a4/publication/afi32-7086/afi32-7086.pdf" TargetMode="External" Id="Ra2963db86691467a" /><Relationship Type="http://schemas.openxmlformats.org/officeDocument/2006/relationships/hyperlink" Target="https://www.fcg.pentagon.mil/" TargetMode="External" Id="R2ae8aa848356453d" /><Relationship Type="http://schemas.openxmlformats.org/officeDocument/2006/relationships/hyperlink" Target="http://static.e-publishing.af.mil/production/1/af_a4/publication/afi31-101/generic_wms.pdf" TargetMode="External" Id="Rce04125701d44d3f" /><Relationship Type="http://schemas.openxmlformats.org/officeDocument/2006/relationships/hyperlink" Target="https://static.e-publishing.af.mil/production/1/saf_aa/publication/dodman5200.02_afman16-1405/dodm5200.02_afman16-1405.pdf" TargetMode="External" Id="Ra0867e44e298443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