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CBFBF05" w:rsidR="00C53C8E" w:rsidRDefault="50466027" w:rsidP="00227344">
      <w:pPr>
        <w:pStyle w:val="Heading1"/>
        <w:widowControl/>
        <w:rPr>
          <w:color w:val="auto"/>
          <w:sz w:val="28"/>
          <w:szCs w:val="28"/>
        </w:rPr>
      </w:pPr>
      <w:bookmarkStart w:id="0" w:name="_Toc76027626"/>
      <w:bookmarkStart w:id="1" w:name="_Toc76029825"/>
      <w:bookmarkStart w:id="2" w:name="_Toc162881465"/>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257EF">
        <w:rPr>
          <w:color w:val="auto"/>
          <w:sz w:val="28"/>
          <w:szCs w:val="28"/>
        </w:rPr>
        <w:t>4</w:t>
      </w:r>
      <w:r w:rsidR="009A26DC">
        <w:rPr>
          <w:color w:val="auto"/>
          <w:sz w:val="28"/>
          <w:szCs w:val="28"/>
        </w:rPr>
        <w:t>3</w:t>
      </w:r>
      <w:r w:rsidRPr="28298539">
        <w:rPr>
          <w:color w:val="auto"/>
          <w:sz w:val="28"/>
          <w:szCs w:val="28"/>
        </w:rPr>
        <w:t xml:space="preserve"> - </w:t>
      </w:r>
      <w:r w:rsidR="3FEB16EC">
        <w:br/>
      </w:r>
      <w:bookmarkEnd w:id="0"/>
      <w:bookmarkEnd w:id="1"/>
      <w:r w:rsidR="009A26DC" w:rsidRPr="009A26DC">
        <w:t>CONTRACT MODIFICATIONS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059A5D15" w14:textId="78614AAF" w:rsidR="00E3550F"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1465" w:history="1">
            <w:r w:rsidR="00E3550F" w:rsidRPr="008F58EB">
              <w:rPr>
                <w:rStyle w:val="Hyperlink"/>
                <w:noProof/>
              </w:rPr>
              <w:t>PART 5843 -  CONTRACT MODIFICATIONS</w:t>
            </w:r>
            <w:r w:rsidR="00E3550F">
              <w:rPr>
                <w:noProof/>
                <w:webHidden/>
              </w:rPr>
              <w:tab/>
            </w:r>
            <w:r w:rsidR="00E3550F">
              <w:rPr>
                <w:noProof/>
                <w:webHidden/>
              </w:rPr>
              <w:fldChar w:fldCharType="begin"/>
            </w:r>
            <w:r w:rsidR="00E3550F">
              <w:rPr>
                <w:noProof/>
                <w:webHidden/>
              </w:rPr>
              <w:instrText xml:space="preserve"> PAGEREF _Toc162881465 \h </w:instrText>
            </w:r>
            <w:r w:rsidR="00E3550F">
              <w:rPr>
                <w:noProof/>
                <w:webHidden/>
              </w:rPr>
            </w:r>
            <w:r w:rsidR="00E3550F">
              <w:rPr>
                <w:noProof/>
                <w:webHidden/>
              </w:rPr>
              <w:fldChar w:fldCharType="separate"/>
            </w:r>
            <w:r w:rsidR="00E3550F">
              <w:rPr>
                <w:noProof/>
                <w:webHidden/>
              </w:rPr>
              <w:t>1</w:t>
            </w:r>
            <w:r w:rsidR="00E3550F">
              <w:rPr>
                <w:noProof/>
                <w:webHidden/>
              </w:rPr>
              <w:fldChar w:fldCharType="end"/>
            </w:r>
          </w:hyperlink>
        </w:p>
        <w:p w14:paraId="0DF1A34F" w14:textId="0277CAA9" w:rsidR="00E3550F" w:rsidRDefault="00051DF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1466" w:history="1">
            <w:r w:rsidR="00E3550F" w:rsidRPr="008F58EB">
              <w:rPr>
                <w:rStyle w:val="Hyperlink"/>
                <w:caps/>
                <w:noProof/>
              </w:rPr>
              <w:t xml:space="preserve">SUBPART 5843.1 – </w:t>
            </w:r>
            <w:r w:rsidR="00E3550F" w:rsidRPr="008F58EB">
              <w:rPr>
                <w:rStyle w:val="Hyperlink"/>
                <w:noProof/>
              </w:rPr>
              <w:t>GENERAL</w:t>
            </w:r>
            <w:r w:rsidR="00E3550F">
              <w:rPr>
                <w:noProof/>
                <w:webHidden/>
              </w:rPr>
              <w:tab/>
            </w:r>
            <w:r w:rsidR="00E3550F">
              <w:rPr>
                <w:noProof/>
                <w:webHidden/>
              </w:rPr>
              <w:fldChar w:fldCharType="begin"/>
            </w:r>
            <w:r w:rsidR="00E3550F">
              <w:rPr>
                <w:noProof/>
                <w:webHidden/>
              </w:rPr>
              <w:instrText xml:space="preserve"> PAGEREF _Toc162881466 \h </w:instrText>
            </w:r>
            <w:r w:rsidR="00E3550F">
              <w:rPr>
                <w:noProof/>
                <w:webHidden/>
              </w:rPr>
            </w:r>
            <w:r w:rsidR="00E3550F">
              <w:rPr>
                <w:noProof/>
                <w:webHidden/>
              </w:rPr>
              <w:fldChar w:fldCharType="separate"/>
            </w:r>
            <w:r w:rsidR="00E3550F">
              <w:rPr>
                <w:noProof/>
                <w:webHidden/>
              </w:rPr>
              <w:t>1</w:t>
            </w:r>
            <w:r w:rsidR="00E3550F">
              <w:rPr>
                <w:noProof/>
                <w:webHidden/>
              </w:rPr>
              <w:fldChar w:fldCharType="end"/>
            </w:r>
          </w:hyperlink>
        </w:p>
        <w:p w14:paraId="0A12B56A" w14:textId="2487354E" w:rsidR="00E3550F" w:rsidRDefault="00051DF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467" w:history="1">
            <w:r w:rsidR="00E3550F" w:rsidRPr="008F58EB">
              <w:rPr>
                <w:rStyle w:val="Hyperlink"/>
                <w:noProof/>
              </w:rPr>
              <w:t>5843.102   Policy</w:t>
            </w:r>
            <w:r w:rsidR="00E3550F">
              <w:rPr>
                <w:noProof/>
                <w:webHidden/>
              </w:rPr>
              <w:tab/>
            </w:r>
            <w:r w:rsidR="00E3550F">
              <w:rPr>
                <w:noProof/>
                <w:webHidden/>
              </w:rPr>
              <w:fldChar w:fldCharType="begin"/>
            </w:r>
            <w:r w:rsidR="00E3550F">
              <w:rPr>
                <w:noProof/>
                <w:webHidden/>
              </w:rPr>
              <w:instrText xml:space="preserve"> PAGEREF _Toc162881467 \h </w:instrText>
            </w:r>
            <w:r w:rsidR="00E3550F">
              <w:rPr>
                <w:noProof/>
                <w:webHidden/>
              </w:rPr>
            </w:r>
            <w:r w:rsidR="00E3550F">
              <w:rPr>
                <w:noProof/>
                <w:webHidden/>
              </w:rPr>
              <w:fldChar w:fldCharType="separate"/>
            </w:r>
            <w:r w:rsidR="00E3550F">
              <w:rPr>
                <w:noProof/>
                <w:webHidden/>
              </w:rPr>
              <w:t>1</w:t>
            </w:r>
            <w:r w:rsidR="00E3550F">
              <w:rPr>
                <w:noProof/>
                <w:webHidden/>
              </w:rPr>
              <w:fldChar w:fldCharType="end"/>
            </w:r>
          </w:hyperlink>
        </w:p>
        <w:p w14:paraId="0AC66154" w14:textId="7BA7A717" w:rsidR="00E3550F" w:rsidRDefault="00051DF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1468" w:history="1">
            <w:r w:rsidR="00E3550F" w:rsidRPr="008F58EB">
              <w:rPr>
                <w:rStyle w:val="Hyperlink"/>
                <w:caps/>
                <w:noProof/>
              </w:rPr>
              <w:t xml:space="preserve">SUBPART 5843.2 – </w:t>
            </w:r>
            <w:r w:rsidR="00E3550F" w:rsidRPr="008F58EB">
              <w:rPr>
                <w:rStyle w:val="Hyperlink"/>
                <w:noProof/>
              </w:rPr>
              <w:t>CHANGE ORDERS</w:t>
            </w:r>
            <w:r w:rsidR="00E3550F">
              <w:rPr>
                <w:noProof/>
                <w:webHidden/>
              </w:rPr>
              <w:tab/>
            </w:r>
            <w:r w:rsidR="00E3550F">
              <w:rPr>
                <w:noProof/>
                <w:webHidden/>
              </w:rPr>
              <w:fldChar w:fldCharType="begin"/>
            </w:r>
            <w:r w:rsidR="00E3550F">
              <w:rPr>
                <w:noProof/>
                <w:webHidden/>
              </w:rPr>
              <w:instrText xml:space="preserve"> PAGEREF _Toc162881468 \h </w:instrText>
            </w:r>
            <w:r w:rsidR="00E3550F">
              <w:rPr>
                <w:noProof/>
                <w:webHidden/>
              </w:rPr>
            </w:r>
            <w:r w:rsidR="00E3550F">
              <w:rPr>
                <w:noProof/>
                <w:webHidden/>
              </w:rPr>
              <w:fldChar w:fldCharType="separate"/>
            </w:r>
            <w:r w:rsidR="00E3550F">
              <w:rPr>
                <w:noProof/>
                <w:webHidden/>
              </w:rPr>
              <w:t>1</w:t>
            </w:r>
            <w:r w:rsidR="00E3550F">
              <w:rPr>
                <w:noProof/>
                <w:webHidden/>
              </w:rPr>
              <w:fldChar w:fldCharType="end"/>
            </w:r>
          </w:hyperlink>
        </w:p>
        <w:p w14:paraId="7790815E" w14:textId="4CE5A65F" w:rsidR="00E3550F" w:rsidRDefault="00051DF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469" w:history="1">
            <w:r w:rsidR="00E3550F" w:rsidRPr="008F58EB">
              <w:rPr>
                <w:rStyle w:val="Hyperlink"/>
                <w:noProof/>
              </w:rPr>
              <w:t>5843.204-70-7   Plans and Reports</w:t>
            </w:r>
            <w:r w:rsidR="00E3550F">
              <w:rPr>
                <w:noProof/>
                <w:webHidden/>
              </w:rPr>
              <w:tab/>
            </w:r>
            <w:r w:rsidR="00E3550F">
              <w:rPr>
                <w:noProof/>
                <w:webHidden/>
              </w:rPr>
              <w:fldChar w:fldCharType="begin"/>
            </w:r>
            <w:r w:rsidR="00E3550F">
              <w:rPr>
                <w:noProof/>
                <w:webHidden/>
              </w:rPr>
              <w:instrText xml:space="preserve"> PAGEREF _Toc162881469 \h </w:instrText>
            </w:r>
            <w:r w:rsidR="00E3550F">
              <w:rPr>
                <w:noProof/>
                <w:webHidden/>
              </w:rPr>
            </w:r>
            <w:r w:rsidR="00E3550F">
              <w:rPr>
                <w:noProof/>
                <w:webHidden/>
              </w:rPr>
              <w:fldChar w:fldCharType="separate"/>
            </w:r>
            <w:r w:rsidR="00E3550F">
              <w:rPr>
                <w:noProof/>
                <w:webHidden/>
              </w:rPr>
              <w:t>1</w:t>
            </w:r>
            <w:r w:rsidR="00E3550F">
              <w:rPr>
                <w:noProof/>
                <w:webHidden/>
              </w:rPr>
              <w:fldChar w:fldCharType="end"/>
            </w:r>
          </w:hyperlink>
        </w:p>
        <w:p w14:paraId="7DBFF9A4" w14:textId="154893F5" w:rsidR="00E3550F" w:rsidRDefault="00051DF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1470" w:history="1">
            <w:r w:rsidR="00E3550F" w:rsidRPr="008F58EB">
              <w:rPr>
                <w:rStyle w:val="Hyperlink"/>
                <w:caps/>
                <w:noProof/>
              </w:rPr>
              <w:t xml:space="preserve">SUBPART 5843.9000 – </w:t>
            </w:r>
            <w:r w:rsidR="00E3550F" w:rsidRPr="008F58EB">
              <w:rPr>
                <w:rStyle w:val="Hyperlink"/>
                <w:noProof/>
              </w:rPr>
              <w:t>SCOPE DETERMINATION</w:t>
            </w:r>
            <w:r w:rsidR="00E3550F">
              <w:rPr>
                <w:noProof/>
                <w:webHidden/>
              </w:rPr>
              <w:tab/>
            </w:r>
            <w:r w:rsidR="00E3550F">
              <w:rPr>
                <w:noProof/>
                <w:webHidden/>
              </w:rPr>
              <w:fldChar w:fldCharType="begin"/>
            </w:r>
            <w:r w:rsidR="00E3550F">
              <w:rPr>
                <w:noProof/>
                <w:webHidden/>
              </w:rPr>
              <w:instrText xml:space="preserve"> PAGEREF _Toc162881470 \h </w:instrText>
            </w:r>
            <w:r w:rsidR="00E3550F">
              <w:rPr>
                <w:noProof/>
                <w:webHidden/>
              </w:rPr>
            </w:r>
            <w:r w:rsidR="00E3550F">
              <w:rPr>
                <w:noProof/>
                <w:webHidden/>
              </w:rPr>
              <w:fldChar w:fldCharType="separate"/>
            </w:r>
            <w:r w:rsidR="00E3550F">
              <w:rPr>
                <w:noProof/>
                <w:webHidden/>
              </w:rPr>
              <w:t>2</w:t>
            </w:r>
            <w:r w:rsidR="00E3550F">
              <w:rPr>
                <w:noProof/>
                <w:webHidden/>
              </w:rPr>
              <w:fldChar w:fldCharType="end"/>
            </w:r>
          </w:hyperlink>
        </w:p>
        <w:p w14:paraId="48D90A94" w14:textId="69CC1C6E" w:rsidR="00E3550F" w:rsidRDefault="00051DF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471" w:history="1">
            <w:r w:rsidR="00E3550F" w:rsidRPr="008F58EB">
              <w:rPr>
                <w:rStyle w:val="Hyperlink"/>
                <w:noProof/>
              </w:rPr>
              <w:t>5843.9000   Policy</w:t>
            </w:r>
            <w:r w:rsidR="00E3550F">
              <w:rPr>
                <w:noProof/>
                <w:webHidden/>
              </w:rPr>
              <w:tab/>
            </w:r>
            <w:r w:rsidR="00E3550F">
              <w:rPr>
                <w:noProof/>
                <w:webHidden/>
              </w:rPr>
              <w:fldChar w:fldCharType="begin"/>
            </w:r>
            <w:r w:rsidR="00E3550F">
              <w:rPr>
                <w:noProof/>
                <w:webHidden/>
              </w:rPr>
              <w:instrText xml:space="preserve"> PAGEREF _Toc162881471 \h </w:instrText>
            </w:r>
            <w:r w:rsidR="00E3550F">
              <w:rPr>
                <w:noProof/>
                <w:webHidden/>
              </w:rPr>
            </w:r>
            <w:r w:rsidR="00E3550F">
              <w:rPr>
                <w:noProof/>
                <w:webHidden/>
              </w:rPr>
              <w:fldChar w:fldCharType="separate"/>
            </w:r>
            <w:r w:rsidR="00E3550F">
              <w:rPr>
                <w:noProof/>
                <w:webHidden/>
              </w:rPr>
              <w:t>2</w:t>
            </w:r>
            <w:r w:rsidR="00E3550F">
              <w:rPr>
                <w:noProof/>
                <w:webHidden/>
              </w:rPr>
              <w:fldChar w:fldCharType="end"/>
            </w:r>
          </w:hyperlink>
        </w:p>
        <w:p w14:paraId="56AF196C" w14:textId="4977AF4D"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3C9B7880" w:rsidR="000B6443" w:rsidRDefault="000B6443" w:rsidP="000B6443">
      <w:pPr>
        <w:pStyle w:val="Heading2"/>
        <w:keepNext w:val="0"/>
        <w:keepLines w:val="0"/>
      </w:pPr>
      <w:bookmarkStart w:id="7" w:name="_Toc162881466"/>
      <w:bookmarkStart w:id="8" w:name="_Toc351646714"/>
      <w:bookmarkStart w:id="9" w:name="_Toc45291369"/>
      <w:bookmarkStart w:id="10" w:name="_Toc76027632"/>
      <w:bookmarkEnd w:id="3"/>
      <w:bookmarkEnd w:id="4"/>
      <w:bookmarkEnd w:id="5"/>
      <w:bookmarkEnd w:id="6"/>
      <w:r>
        <w:rPr>
          <w:caps/>
        </w:rPr>
        <w:t>SUBPART 58</w:t>
      </w:r>
      <w:r w:rsidR="001257EF">
        <w:rPr>
          <w:caps/>
        </w:rPr>
        <w:t>4</w:t>
      </w:r>
      <w:r w:rsidR="00C87B6C">
        <w:rPr>
          <w:caps/>
        </w:rPr>
        <w:t>3</w:t>
      </w:r>
      <w:r w:rsidR="002C1525">
        <w:rPr>
          <w:caps/>
        </w:rPr>
        <w:t>.1</w:t>
      </w:r>
      <w:r>
        <w:rPr>
          <w:caps/>
        </w:rPr>
        <w:t xml:space="preserve"> –</w:t>
      </w:r>
      <w:r w:rsidR="00A430A2">
        <w:rPr>
          <w:caps/>
        </w:rPr>
        <w:t xml:space="preserve"> </w:t>
      </w:r>
      <w:r w:rsidR="00C87B6C" w:rsidRPr="005940CF">
        <w:t>GENERAL</w:t>
      </w:r>
      <w:bookmarkEnd w:id="7"/>
    </w:p>
    <w:p w14:paraId="49F1E73E" w14:textId="1B5C7ECC" w:rsidR="000B6443" w:rsidRDefault="000B6443" w:rsidP="000B6443">
      <w:pPr>
        <w:pStyle w:val="Heading3"/>
        <w:keepNext w:val="0"/>
        <w:keepLines w:val="0"/>
      </w:pPr>
      <w:bookmarkStart w:id="11" w:name="_Toc162881467"/>
      <w:r w:rsidRPr="008D37C0">
        <w:t>5</w:t>
      </w:r>
      <w:r>
        <w:t>8</w:t>
      </w:r>
      <w:r w:rsidR="00FF5307">
        <w:t>4</w:t>
      </w:r>
      <w:r w:rsidR="00C87B6C">
        <w:t>3</w:t>
      </w:r>
      <w:r w:rsidR="00A430A2">
        <w:t>.1</w:t>
      </w:r>
      <w:r w:rsidR="00FF5307">
        <w:t>02</w:t>
      </w:r>
      <w:r>
        <w:t xml:space="preserve">   </w:t>
      </w:r>
      <w:r w:rsidR="00FE2F10" w:rsidRPr="00B50B77">
        <w:t>P</w:t>
      </w:r>
      <w:r w:rsidR="00A430A2">
        <w:t>olicy</w:t>
      </w:r>
      <w:bookmarkEnd w:id="11"/>
    </w:p>
    <w:bookmarkEnd w:id="8"/>
    <w:bookmarkEnd w:id="9"/>
    <w:bookmarkEnd w:id="10"/>
    <w:p w14:paraId="017CCFDA" w14:textId="77777777" w:rsidR="0030240F" w:rsidRDefault="0030240F" w:rsidP="0030240F">
      <w:pPr>
        <w:widowControl w:val="0"/>
        <w:autoSpaceDE w:val="0"/>
        <w:autoSpaceDN w:val="0"/>
        <w:spacing w:before="0" w:after="0"/>
        <w:ind w:left="450"/>
        <w:rPr>
          <w:szCs w:val="24"/>
        </w:rPr>
      </w:pPr>
      <w:r w:rsidRPr="0030240F">
        <w:rPr>
          <w:szCs w:val="24"/>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w:t>
      </w:r>
      <w:r w:rsidRPr="0030240F">
        <w:rPr>
          <w:spacing w:val="-1"/>
          <w:szCs w:val="24"/>
        </w:rPr>
        <w:t xml:space="preserve"> </w:t>
      </w:r>
      <w:r w:rsidRPr="0030240F">
        <w:rPr>
          <w:szCs w:val="24"/>
        </w:rPr>
        <w:t>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w:p w14:paraId="6961A1B1" w14:textId="725DE870" w:rsidR="00E3550F" w:rsidRDefault="00E3550F" w:rsidP="00E3550F">
      <w:pPr>
        <w:pStyle w:val="Heading2"/>
        <w:keepNext w:val="0"/>
        <w:keepLines w:val="0"/>
      </w:pPr>
      <w:bookmarkStart w:id="12" w:name="_Toc162881468"/>
      <w:r>
        <w:rPr>
          <w:caps/>
        </w:rPr>
        <w:t xml:space="preserve">SUBPART 5843.2 – </w:t>
      </w:r>
      <w:r w:rsidRPr="005940CF">
        <w:t>CHANGE ORDERS</w:t>
      </w:r>
      <w:bookmarkEnd w:id="12"/>
    </w:p>
    <w:p w14:paraId="6184E9BA" w14:textId="65A14C40" w:rsidR="00E3550F" w:rsidRDefault="00E3550F" w:rsidP="00E3550F">
      <w:pPr>
        <w:pStyle w:val="Heading3"/>
        <w:keepNext w:val="0"/>
        <w:keepLines w:val="0"/>
      </w:pPr>
      <w:bookmarkStart w:id="13" w:name="_Toc162881469"/>
      <w:r w:rsidRPr="008D37C0">
        <w:t>5</w:t>
      </w:r>
      <w:r>
        <w:t xml:space="preserve">843.204-70-7   </w:t>
      </w:r>
      <w:r w:rsidRPr="00716570">
        <w:t xml:space="preserve">Plans and </w:t>
      </w:r>
      <w:r>
        <w:t>R</w:t>
      </w:r>
      <w:r w:rsidRPr="00716570">
        <w:t>eports</w:t>
      </w:r>
      <w:bookmarkEnd w:id="13"/>
    </w:p>
    <w:p w14:paraId="10983F43" w14:textId="1E1DD7AA" w:rsidR="00E3550F" w:rsidRPr="00E3550F" w:rsidRDefault="00E3550F" w:rsidP="00E3550F">
      <w:pPr>
        <w:spacing w:before="0" w:after="0"/>
        <w:ind w:left="450"/>
        <w:rPr>
          <w:rFonts w:eastAsia="Calibri"/>
          <w:szCs w:val="24"/>
        </w:rPr>
      </w:pPr>
      <w:r w:rsidRPr="00E3550F">
        <w:rPr>
          <w:rFonts w:eastAsia="Calibri"/>
          <w:szCs w:val="24"/>
        </w:rPr>
        <w:t xml:space="preserve">(S-90) </w:t>
      </w:r>
      <w:r w:rsidRPr="00E3550F">
        <w:rPr>
          <w:rFonts w:eastAsia="Calibri"/>
          <w:i/>
          <w:iCs/>
          <w:szCs w:val="24"/>
        </w:rPr>
        <w:t>Authorization</w:t>
      </w:r>
      <w:r w:rsidRPr="00E3550F">
        <w:rPr>
          <w:rFonts w:eastAsia="Calibri"/>
          <w:szCs w:val="24"/>
        </w:rPr>
        <w:t xml:space="preserve">.  The contracting officer shall obtain approval from the Head of the Contracting Activity (HCA) before </w:t>
      </w:r>
      <w:proofErr w:type="gramStart"/>
      <w:r w:rsidRPr="00E3550F">
        <w:rPr>
          <w:rFonts w:eastAsia="Calibri"/>
          <w:szCs w:val="24"/>
        </w:rPr>
        <w:t>entering into</w:t>
      </w:r>
      <w:proofErr w:type="gramEnd"/>
      <w:r w:rsidRPr="00E3550F">
        <w:rPr>
          <w:rFonts w:eastAsia="Calibri"/>
          <w:szCs w:val="24"/>
        </w:rPr>
        <w:t xml:space="preserve"> an Unpriced Change Order (UCO) or modifying the scope of a UCO when performance has already begun.  The Request for HCA approval of a UCO </w:t>
      </w:r>
      <w:proofErr w:type="gramStart"/>
      <w:r w:rsidRPr="00E3550F">
        <w:rPr>
          <w:rFonts w:eastAsia="Calibri"/>
          <w:szCs w:val="24"/>
        </w:rPr>
        <w:t>is located in</w:t>
      </w:r>
      <w:proofErr w:type="gramEnd"/>
      <w:r w:rsidRPr="00E3550F">
        <w:rPr>
          <w:rFonts w:eastAsia="Calibri"/>
          <w:szCs w:val="24"/>
        </w:rPr>
        <w:t xml:space="preserve"> </w:t>
      </w:r>
      <w:hyperlink r:id="rId11" w:history="1">
        <w:r w:rsidRPr="00E3550F">
          <w:rPr>
            <w:rFonts w:eastAsia="Calibri"/>
            <w:szCs w:val="22"/>
          </w:rPr>
          <w:t>DARS PGI</w:t>
        </w:r>
      </w:hyperlink>
      <w:r w:rsidRPr="00E3550F">
        <w:rPr>
          <w:rFonts w:eastAsia="Calibri"/>
          <w:szCs w:val="22"/>
        </w:rPr>
        <w:t xml:space="preserve"> </w:t>
      </w:r>
      <w:r w:rsidR="00051DF4">
        <w:rPr>
          <w:rFonts w:eastAsia="Calibri"/>
          <w:szCs w:val="22"/>
        </w:rPr>
        <w:t>58</w:t>
      </w:r>
      <w:r w:rsidRPr="00E3550F">
        <w:rPr>
          <w:rFonts w:eastAsia="Calibri"/>
          <w:szCs w:val="22"/>
        </w:rPr>
        <w:t>17.7404-1(S-90)</w:t>
      </w:r>
      <w:r w:rsidRPr="00E3550F">
        <w:rPr>
          <w:rFonts w:eastAsia="Calibri"/>
          <w:szCs w:val="24"/>
        </w:rPr>
        <w:t xml:space="preserve"> and must be maintained in the contract file. </w:t>
      </w:r>
    </w:p>
    <w:p w14:paraId="3BBF99FF" w14:textId="77777777" w:rsidR="00E3550F" w:rsidRPr="00E3550F" w:rsidRDefault="00E3550F" w:rsidP="00E3550F">
      <w:pPr>
        <w:spacing w:before="0" w:after="0"/>
        <w:ind w:left="450"/>
        <w:rPr>
          <w:rFonts w:eastAsia="Calibri"/>
          <w:szCs w:val="24"/>
        </w:rPr>
      </w:pPr>
    </w:p>
    <w:p w14:paraId="4083AF5E" w14:textId="6622FECB" w:rsidR="00E3550F" w:rsidRPr="00E3550F" w:rsidRDefault="00E3550F" w:rsidP="00E3550F">
      <w:pPr>
        <w:spacing w:before="0" w:after="0"/>
        <w:ind w:left="450"/>
        <w:rPr>
          <w:rFonts w:eastAsia="Calibri"/>
          <w:szCs w:val="24"/>
        </w:rPr>
      </w:pPr>
      <w:r w:rsidRPr="00E3550F">
        <w:rPr>
          <w:rFonts w:eastAsia="Calibri"/>
          <w:szCs w:val="24"/>
        </w:rPr>
        <w:lastRenderedPageBreak/>
        <w:t xml:space="preserve">(S-91) </w:t>
      </w:r>
      <w:r w:rsidRPr="00E3550F">
        <w:rPr>
          <w:rFonts w:eastAsia="Calibri"/>
          <w:i/>
          <w:szCs w:val="24"/>
          <w:lang w:val="en"/>
        </w:rPr>
        <w:t>Processing.</w:t>
      </w:r>
      <w:r w:rsidRPr="00E3550F">
        <w:rPr>
          <w:rFonts w:eastAsia="Calibri"/>
          <w:szCs w:val="24"/>
          <w:lang w:val="en"/>
        </w:rPr>
        <w:t xml:space="preserve">  The P</w:t>
      </w:r>
      <w:r w:rsidR="00987AFC">
        <w:rPr>
          <w:rFonts w:eastAsia="Calibri"/>
          <w:szCs w:val="24"/>
          <w:lang w:val="en"/>
        </w:rPr>
        <w:t>S</w:t>
      </w:r>
      <w:r w:rsidRPr="00E3550F">
        <w:rPr>
          <w:rFonts w:eastAsia="Calibri"/>
          <w:szCs w:val="24"/>
          <w:lang w:val="en"/>
        </w:rPr>
        <w:t xml:space="preserve">2 Contract Policy &amp; Operations Division will track the processing of UCOs (see </w:t>
      </w:r>
      <w:hyperlink r:id="rId12" w:history="1">
        <w:r w:rsidRPr="00E3550F">
          <w:rPr>
            <w:rFonts w:eastAsia="Calibri"/>
            <w:color w:val="0563C1"/>
            <w:szCs w:val="22"/>
            <w:u w:val="single"/>
            <w:lang w:val="en"/>
          </w:rPr>
          <w:t>DFARS</w:t>
        </w:r>
      </w:hyperlink>
      <w:r w:rsidRPr="00E3550F">
        <w:rPr>
          <w:rFonts w:eastAsia="Calibri"/>
          <w:szCs w:val="24"/>
          <w:lang w:val="en"/>
        </w:rPr>
        <w:t xml:space="preserve"> 217.7405 &amp; </w:t>
      </w:r>
      <w:hyperlink r:id="rId13" w:history="1">
        <w:r w:rsidRPr="00E3550F">
          <w:rPr>
            <w:rFonts w:eastAsia="Calibri"/>
            <w:color w:val="0563C1"/>
            <w:szCs w:val="22"/>
            <w:u w:val="single"/>
            <w:lang w:val="en"/>
          </w:rPr>
          <w:t>DFARS PGI</w:t>
        </w:r>
      </w:hyperlink>
      <w:r w:rsidRPr="00E3550F">
        <w:rPr>
          <w:rFonts w:eastAsia="Calibri"/>
          <w:szCs w:val="24"/>
          <w:lang w:val="en"/>
        </w:rPr>
        <w:t xml:space="preserve"> 217.7405)</w:t>
      </w:r>
      <w:r w:rsidRPr="00E3550F">
        <w:rPr>
          <w:rFonts w:eastAsia="Calibri"/>
          <w:color w:val="0000FF"/>
          <w:szCs w:val="24"/>
          <w:lang w:val="en"/>
        </w:rPr>
        <w:t xml:space="preserve"> </w:t>
      </w:r>
      <w:r w:rsidRPr="00E3550F">
        <w:rPr>
          <w:rFonts w:eastAsia="Calibri"/>
          <w:szCs w:val="24"/>
          <w:lang w:val="en"/>
        </w:rPr>
        <w:t xml:space="preserve">from providing a </w:t>
      </w:r>
      <w:r w:rsidRPr="00E3550F">
        <w:rPr>
          <w:rFonts w:eastAsia="Calibri"/>
          <w:szCs w:val="22"/>
          <w:lang w:val="en"/>
        </w:rPr>
        <w:t>UCO</w:t>
      </w:r>
      <w:r w:rsidRPr="00E3550F">
        <w:rPr>
          <w:rFonts w:eastAsia="Calibri"/>
          <w:szCs w:val="24"/>
          <w:lang w:val="en"/>
        </w:rPr>
        <w:t xml:space="preserve"> tracking number to reviewing the final negotiated agreement, at all dollar values.  UCOs valued greater than $5M will be reported to the Director, Defense Pricing and Contracting in accordance with the DISA Consolidated UCA Management Plan. </w:t>
      </w:r>
      <w:r w:rsidRPr="00E3550F">
        <w:rPr>
          <w:rFonts w:eastAsia="Calibri"/>
          <w:szCs w:val="24"/>
        </w:rPr>
        <w:t xml:space="preserve">Contract data shall be </w:t>
      </w:r>
      <w:r w:rsidRPr="00E3550F">
        <w:rPr>
          <w:rFonts w:eastAsia="Calibri"/>
          <w:szCs w:val="24"/>
          <w:lang w:val="en"/>
        </w:rPr>
        <w:t>maintained</w:t>
      </w:r>
      <w:r w:rsidRPr="00E3550F">
        <w:rPr>
          <w:rFonts w:eastAsia="Calibri"/>
          <w:szCs w:val="24"/>
        </w:rPr>
        <w:t xml:space="preserve"> in the format required by the spreadsheet referenced in </w:t>
      </w:r>
      <w:hyperlink r:id="rId14" w:history="1">
        <w:r w:rsidRPr="00E3550F">
          <w:rPr>
            <w:rFonts w:eastAsia="Calibri"/>
            <w:color w:val="0070C0"/>
            <w:szCs w:val="24"/>
            <w:u w:val="single"/>
          </w:rPr>
          <w:t>DFARS PGI</w:t>
        </w:r>
      </w:hyperlink>
      <w:r w:rsidRPr="00E3550F">
        <w:rPr>
          <w:rFonts w:eastAsia="Calibri"/>
          <w:szCs w:val="24"/>
        </w:rPr>
        <w:t xml:space="preserve"> 217.7405(2)(ii).  </w:t>
      </w:r>
      <w:r w:rsidRPr="00E3550F">
        <w:rPr>
          <w:rFonts w:eastAsia="Calibri"/>
          <w:szCs w:val="24"/>
          <w:lang w:val="en"/>
        </w:rPr>
        <w:t>P</w:t>
      </w:r>
      <w:r>
        <w:rPr>
          <w:rFonts w:eastAsia="Calibri"/>
          <w:szCs w:val="24"/>
          <w:lang w:val="en"/>
        </w:rPr>
        <w:t>S</w:t>
      </w:r>
      <w:r w:rsidRPr="00E3550F">
        <w:rPr>
          <w:rFonts w:eastAsia="Calibri"/>
          <w:szCs w:val="24"/>
          <w:lang w:val="en"/>
        </w:rPr>
        <w:t>2 will track approval of the UCO by the HCA, and upon approval, retain a copy to complete the bi-annual report.</w:t>
      </w:r>
    </w:p>
    <w:p w14:paraId="16EB79ED" w14:textId="77777777" w:rsidR="00E3550F" w:rsidRPr="00E3550F" w:rsidRDefault="00E3550F" w:rsidP="00E3550F">
      <w:pPr>
        <w:widowControl w:val="0"/>
        <w:autoSpaceDE w:val="0"/>
        <w:autoSpaceDN w:val="0"/>
        <w:spacing w:before="0" w:after="0"/>
        <w:ind w:left="450"/>
        <w:rPr>
          <w:szCs w:val="24"/>
        </w:rPr>
      </w:pPr>
    </w:p>
    <w:p w14:paraId="62B1253B" w14:textId="73461B0D" w:rsidR="00E3550F" w:rsidRPr="00E3550F" w:rsidRDefault="00E3550F" w:rsidP="00E3550F">
      <w:pPr>
        <w:widowControl w:val="0"/>
        <w:autoSpaceDE w:val="0"/>
        <w:autoSpaceDN w:val="0"/>
        <w:spacing w:before="0" w:after="0"/>
        <w:ind w:left="450"/>
        <w:rPr>
          <w:szCs w:val="24"/>
        </w:rPr>
      </w:pPr>
      <w:r w:rsidRPr="00E3550F">
        <w:rPr>
          <w:szCs w:val="24"/>
        </w:rPr>
        <w:t xml:space="preserve">(S-92) </w:t>
      </w:r>
      <w:r w:rsidRPr="00E3550F">
        <w:rPr>
          <w:i/>
          <w:szCs w:val="24"/>
        </w:rPr>
        <w:t>Review.</w:t>
      </w:r>
      <w:r w:rsidRPr="00E3550F">
        <w:rPr>
          <w:szCs w:val="24"/>
        </w:rPr>
        <w:t xml:space="preserve">  The contracting officer shall obtain a review of the proposed profit/fee from P</w:t>
      </w:r>
      <w:r w:rsidR="00987AFC">
        <w:rPr>
          <w:szCs w:val="24"/>
        </w:rPr>
        <w:t>S</w:t>
      </w:r>
      <w:r w:rsidRPr="00E3550F">
        <w:rPr>
          <w:szCs w:val="24"/>
        </w:rPr>
        <w:t xml:space="preserve">84, </w:t>
      </w:r>
      <w:hyperlink r:id="rId15" w:history="1">
        <w:r w:rsidRPr="00E3550F">
          <w:rPr>
            <w:color w:val="0070C0"/>
            <w:szCs w:val="24"/>
            <w:u w:val="single"/>
          </w:rPr>
          <w:t>Cost and Pricing Branch</w:t>
        </w:r>
      </w:hyperlink>
      <w:r w:rsidRPr="00E3550F">
        <w:rPr>
          <w:color w:val="0070C0"/>
          <w:szCs w:val="24"/>
          <w:u w:val="single"/>
        </w:rPr>
        <w:t>.</w:t>
      </w:r>
      <w:r w:rsidRPr="00E3550F">
        <w:rPr>
          <w:szCs w:val="24"/>
        </w:rPr>
        <w:t xml:space="preserve"> A</w:t>
      </w:r>
      <w:r w:rsidRPr="00E3550F">
        <w:rPr>
          <w:szCs w:val="24"/>
          <w:lang w:val="en"/>
        </w:rPr>
        <w:t xml:space="preserve"> UCO Tracking Number shall be obtained from the P</w:t>
      </w:r>
      <w:r>
        <w:rPr>
          <w:szCs w:val="24"/>
          <w:lang w:val="en"/>
        </w:rPr>
        <w:t>S</w:t>
      </w:r>
      <w:r w:rsidRPr="00E3550F">
        <w:rPr>
          <w:szCs w:val="24"/>
          <w:lang w:val="en"/>
        </w:rPr>
        <w:t xml:space="preserve">21, </w:t>
      </w:r>
      <w:hyperlink r:id="rId16" w:history="1">
        <w:r w:rsidRPr="00E3550F">
          <w:rPr>
            <w:color w:val="0070C0"/>
            <w:szCs w:val="24"/>
            <w:u w:val="single"/>
          </w:rPr>
          <w:t>Contract Policy Branch</w:t>
        </w:r>
      </w:hyperlink>
      <w:r w:rsidRPr="00E3550F">
        <w:rPr>
          <w:szCs w:val="24"/>
          <w:lang w:val="en"/>
        </w:rPr>
        <w:t>. A</w:t>
      </w:r>
      <w:r w:rsidRPr="00E3550F">
        <w:rPr>
          <w:szCs w:val="24"/>
        </w:rPr>
        <w:t xml:space="preserve"> compliance review of the final negotiated agreement shall be obtained from the P</w:t>
      </w:r>
      <w:r>
        <w:rPr>
          <w:szCs w:val="24"/>
        </w:rPr>
        <w:t>S</w:t>
      </w:r>
      <w:r w:rsidRPr="00E3550F">
        <w:rPr>
          <w:szCs w:val="24"/>
        </w:rPr>
        <w:t xml:space="preserve">22, </w:t>
      </w:r>
      <w:hyperlink r:id="rId17" w:history="1">
        <w:r w:rsidRPr="00E3550F">
          <w:rPr>
            <w:color w:val="0070C0"/>
            <w:szCs w:val="24"/>
            <w:u w:val="single"/>
          </w:rPr>
          <w:t>Contract Operations Branch</w:t>
        </w:r>
      </w:hyperlink>
      <w:r w:rsidRPr="00E3550F">
        <w:rPr>
          <w:szCs w:val="24"/>
        </w:rPr>
        <w:t xml:space="preserve"> prior to </w:t>
      </w:r>
      <w:proofErr w:type="spellStart"/>
      <w:r w:rsidRPr="00E3550F">
        <w:rPr>
          <w:szCs w:val="24"/>
        </w:rPr>
        <w:t>definitization</w:t>
      </w:r>
      <w:proofErr w:type="spellEnd"/>
      <w:r w:rsidRPr="00E3550F">
        <w:rPr>
          <w:szCs w:val="24"/>
        </w:rPr>
        <w:t>.</w:t>
      </w:r>
    </w:p>
    <w:p w14:paraId="40EE21C0" w14:textId="77777777" w:rsidR="00E3550F" w:rsidRPr="00E3550F" w:rsidRDefault="00E3550F" w:rsidP="00E3550F">
      <w:pPr>
        <w:widowControl w:val="0"/>
        <w:autoSpaceDE w:val="0"/>
        <w:autoSpaceDN w:val="0"/>
        <w:spacing w:before="0" w:after="0"/>
        <w:ind w:left="450"/>
        <w:rPr>
          <w:szCs w:val="24"/>
        </w:rPr>
      </w:pPr>
    </w:p>
    <w:p w14:paraId="0A918A03" w14:textId="0C611497" w:rsidR="00E3550F" w:rsidRDefault="00E3550F" w:rsidP="00E3550F">
      <w:pPr>
        <w:widowControl w:val="0"/>
        <w:autoSpaceDE w:val="0"/>
        <w:autoSpaceDN w:val="0"/>
        <w:spacing w:before="0" w:after="0"/>
        <w:ind w:left="450"/>
        <w:rPr>
          <w:szCs w:val="24"/>
          <w:u w:val="single"/>
        </w:rPr>
      </w:pPr>
      <w:r w:rsidRPr="00E3550F">
        <w:rPr>
          <w:szCs w:val="24"/>
        </w:rPr>
        <w:t xml:space="preserve">(S-93) </w:t>
      </w:r>
      <w:r w:rsidRPr="00E3550F">
        <w:rPr>
          <w:i/>
          <w:szCs w:val="24"/>
        </w:rPr>
        <w:t>Management Plan (D&amp;F)</w:t>
      </w:r>
      <w:r w:rsidRPr="00E3550F">
        <w:rPr>
          <w:szCs w:val="24"/>
        </w:rPr>
        <w:t xml:space="preserve">. All UCOs are required to adhere to the Consolidated UCA Management Plan required by </w:t>
      </w:r>
      <w:hyperlink r:id="rId18" w:history="1">
        <w:r w:rsidRPr="00E3550F">
          <w:rPr>
            <w:color w:val="0070C0"/>
            <w:szCs w:val="24"/>
            <w:u w:val="single"/>
          </w:rPr>
          <w:t>DFARS PGI</w:t>
        </w:r>
      </w:hyperlink>
      <w:r w:rsidRPr="00E3550F">
        <w:rPr>
          <w:szCs w:val="24"/>
        </w:rPr>
        <w:t xml:space="preserve"> 217.7405</w:t>
      </w:r>
      <w:hyperlink r:id="rId19" w:anchor="217.7405">
        <w:r w:rsidRPr="00E3550F">
          <w:rPr>
            <w:szCs w:val="24"/>
          </w:rPr>
          <w:t>(2)(i).</w:t>
        </w:r>
      </w:hyperlink>
      <w:r w:rsidRPr="00E3550F">
        <w:rPr>
          <w:szCs w:val="24"/>
        </w:rPr>
        <w:t xml:space="preserve"> Prior to </w:t>
      </w:r>
      <w:proofErr w:type="spellStart"/>
      <w:r w:rsidRPr="00E3550F">
        <w:rPr>
          <w:szCs w:val="24"/>
        </w:rPr>
        <w:t>definitization</w:t>
      </w:r>
      <w:proofErr w:type="spellEnd"/>
      <w:r w:rsidRPr="00E3550F">
        <w:rPr>
          <w:szCs w:val="24"/>
        </w:rPr>
        <w:t>, contracting officers shall satisfy the requirements of the UCA Management Plan by executing a D&amp;F for HCA approval IAWIAW the Consolidated UCA Management Plan (</w:t>
      </w:r>
      <w:hyperlink r:id="rId20" w:history="1">
        <w:r w:rsidRPr="00E3550F">
          <w:rPr>
            <w:color w:val="0070C0"/>
            <w:szCs w:val="24"/>
            <w:u w:val="single"/>
          </w:rPr>
          <w:t>DFARS PGI</w:t>
        </w:r>
      </w:hyperlink>
      <w:r w:rsidRPr="00E3550F">
        <w:rPr>
          <w:szCs w:val="24"/>
        </w:rPr>
        <w:t xml:space="preserve"> 217.7405(2)(i)), which shall be maintained in the contract file.  The D&amp;F template is located in </w:t>
      </w:r>
      <w:hyperlink r:id="rId21" w:history="1">
        <w:r w:rsidRPr="00051DF4">
          <w:rPr>
            <w:szCs w:val="24"/>
          </w:rPr>
          <w:t>DARS PGI</w:t>
        </w:r>
      </w:hyperlink>
      <w:r w:rsidRPr="00051DF4">
        <w:rPr>
          <w:szCs w:val="24"/>
        </w:rPr>
        <w:t xml:space="preserve"> </w:t>
      </w:r>
      <w:r w:rsidR="00051DF4">
        <w:rPr>
          <w:szCs w:val="24"/>
        </w:rPr>
        <w:t>58</w:t>
      </w:r>
      <w:r w:rsidRPr="00404542">
        <w:rPr>
          <w:szCs w:val="24"/>
        </w:rPr>
        <w:t>17.7405(S-91).</w:t>
      </w:r>
    </w:p>
    <w:p w14:paraId="35EA18B2" w14:textId="0D9734C6" w:rsidR="00E3550F" w:rsidRDefault="00E3550F" w:rsidP="00E3550F">
      <w:pPr>
        <w:pStyle w:val="Heading2"/>
        <w:keepNext w:val="0"/>
        <w:keepLines w:val="0"/>
      </w:pPr>
      <w:bookmarkStart w:id="14" w:name="_Toc162881470"/>
      <w:r>
        <w:rPr>
          <w:caps/>
        </w:rPr>
        <w:t xml:space="preserve">SUBPART 5843.9000 – </w:t>
      </w:r>
      <w:r w:rsidRPr="00716570">
        <w:t>SCOPE DETERMINATION</w:t>
      </w:r>
      <w:bookmarkEnd w:id="14"/>
    </w:p>
    <w:p w14:paraId="70C2380E" w14:textId="47D97595" w:rsidR="00E3550F" w:rsidRDefault="00E3550F" w:rsidP="00E3550F">
      <w:pPr>
        <w:pStyle w:val="Heading3"/>
        <w:keepNext w:val="0"/>
        <w:keepLines w:val="0"/>
      </w:pPr>
      <w:bookmarkStart w:id="15" w:name="_Toc162881471"/>
      <w:r w:rsidRPr="008D37C0">
        <w:t>5</w:t>
      </w:r>
      <w:r>
        <w:t xml:space="preserve">843.9000   </w:t>
      </w:r>
      <w:r w:rsidRPr="00716570">
        <w:t>P</w:t>
      </w:r>
      <w:r>
        <w:t>olicy</w:t>
      </w:r>
      <w:bookmarkEnd w:id="15"/>
    </w:p>
    <w:p w14:paraId="10BB4900" w14:textId="2D06C0E1" w:rsidR="00E3550F" w:rsidRPr="00E3550F" w:rsidRDefault="00E3550F" w:rsidP="00E3550F">
      <w:pPr>
        <w:widowControl w:val="0"/>
        <w:autoSpaceDE w:val="0"/>
        <w:autoSpaceDN w:val="0"/>
        <w:spacing w:before="0" w:after="0"/>
        <w:ind w:left="450"/>
        <w:rPr>
          <w:szCs w:val="24"/>
        </w:rPr>
      </w:pPr>
      <w:r w:rsidRPr="00E3550F">
        <w:rPr>
          <w:szCs w:val="24"/>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Id22" w:history="1">
        <w:r w:rsidRPr="00E3550F">
          <w:rPr>
            <w:szCs w:val="24"/>
          </w:rPr>
          <w:t>DARS PGI</w:t>
        </w:r>
      </w:hyperlink>
      <w:r w:rsidRPr="00E3550F">
        <w:rPr>
          <w:szCs w:val="24"/>
        </w:rPr>
        <w:t xml:space="preserve"> </w:t>
      </w:r>
      <w:r w:rsidR="000F21A5">
        <w:rPr>
          <w:szCs w:val="24"/>
        </w:rPr>
        <w:t>58</w:t>
      </w:r>
      <w:r w:rsidRPr="00E3550F">
        <w:rPr>
          <w:szCs w:val="24"/>
        </w:rPr>
        <w:t xml:space="preserve">43.9000(S-90). Further guidance on determining when a modification is within scope of an existing contract is contained within the Scope Determination Guide at </w:t>
      </w:r>
      <w:hyperlink r:id="rId23" w:history="1">
        <w:r w:rsidRPr="00E3550F">
          <w:rPr>
            <w:szCs w:val="24"/>
          </w:rPr>
          <w:t>DARS PGI</w:t>
        </w:r>
      </w:hyperlink>
      <w:r w:rsidRPr="00E3550F">
        <w:rPr>
          <w:szCs w:val="24"/>
        </w:rPr>
        <w:t xml:space="preserve"> </w:t>
      </w:r>
      <w:r w:rsidR="000F21A5">
        <w:rPr>
          <w:szCs w:val="24"/>
        </w:rPr>
        <w:t>58</w:t>
      </w:r>
      <w:r w:rsidRPr="00E3550F">
        <w:rPr>
          <w:szCs w:val="24"/>
        </w:rPr>
        <w:t>43.9000(S-90).</w:t>
      </w:r>
    </w:p>
    <w:p w14:paraId="7BEC516C" w14:textId="77777777" w:rsidR="00E3550F" w:rsidRPr="00E3550F" w:rsidRDefault="00E3550F" w:rsidP="00E3550F">
      <w:pPr>
        <w:widowControl w:val="0"/>
        <w:autoSpaceDE w:val="0"/>
        <w:autoSpaceDN w:val="0"/>
        <w:spacing w:before="0" w:after="0"/>
        <w:ind w:left="450"/>
        <w:rPr>
          <w:szCs w:val="24"/>
        </w:rPr>
      </w:pPr>
    </w:p>
    <w:p w14:paraId="33FCA6ED" w14:textId="77777777" w:rsidR="00E3550F" w:rsidRPr="00E3550F" w:rsidRDefault="00E3550F" w:rsidP="00E3550F">
      <w:pPr>
        <w:widowControl w:val="0"/>
        <w:autoSpaceDE w:val="0"/>
        <w:autoSpaceDN w:val="0"/>
        <w:spacing w:before="0" w:after="0"/>
        <w:ind w:left="450"/>
        <w:rPr>
          <w:szCs w:val="24"/>
        </w:rPr>
      </w:pPr>
      <w:r w:rsidRPr="00E3550F">
        <w:rPr>
          <w:szCs w:val="24"/>
        </w:rPr>
        <w:t>(S-91) Scope determinations are not required for:</w:t>
      </w:r>
    </w:p>
    <w:p w14:paraId="7E9CB453" w14:textId="77777777" w:rsidR="00E3550F" w:rsidRPr="00E3550F" w:rsidRDefault="00E3550F" w:rsidP="00E3550F">
      <w:pPr>
        <w:widowControl w:val="0"/>
        <w:tabs>
          <w:tab w:val="left" w:pos="360"/>
        </w:tabs>
        <w:autoSpaceDE w:val="0"/>
        <w:autoSpaceDN w:val="0"/>
        <w:spacing w:before="0" w:after="0"/>
        <w:ind w:left="450"/>
        <w:rPr>
          <w:szCs w:val="24"/>
        </w:rPr>
      </w:pPr>
    </w:p>
    <w:p w14:paraId="5CBED960" w14:textId="77777777" w:rsidR="00E3550F" w:rsidRPr="00E3550F" w:rsidRDefault="00E3550F" w:rsidP="00E3550F">
      <w:pPr>
        <w:widowControl w:val="0"/>
        <w:numPr>
          <w:ilvl w:val="3"/>
          <w:numId w:val="23"/>
        </w:numPr>
        <w:tabs>
          <w:tab w:val="left" w:pos="360"/>
          <w:tab w:val="left" w:pos="810"/>
        </w:tabs>
        <w:autoSpaceDE w:val="0"/>
        <w:autoSpaceDN w:val="0"/>
        <w:spacing w:before="0" w:after="0"/>
        <w:ind w:left="450" w:firstLine="0"/>
        <w:rPr>
          <w:szCs w:val="24"/>
        </w:rPr>
      </w:pPr>
      <w:r w:rsidRPr="00E3550F">
        <w:rPr>
          <w:szCs w:val="24"/>
        </w:rPr>
        <w:t>Administrative changes issued as modifications that do not impact the substantive rights of the parties (e.g., a change in the paying office or the appropriation data (FAR 43.101)</w:t>
      </w:r>
    </w:p>
    <w:p w14:paraId="20A61038" w14:textId="77777777" w:rsidR="00E3550F" w:rsidRPr="00E3550F" w:rsidRDefault="00E3550F" w:rsidP="00E3550F">
      <w:pPr>
        <w:widowControl w:val="0"/>
        <w:tabs>
          <w:tab w:val="left" w:pos="360"/>
          <w:tab w:val="left" w:pos="810"/>
        </w:tabs>
        <w:autoSpaceDE w:val="0"/>
        <w:autoSpaceDN w:val="0"/>
        <w:spacing w:before="0" w:after="0"/>
        <w:ind w:left="450"/>
        <w:rPr>
          <w:szCs w:val="24"/>
        </w:rPr>
      </w:pPr>
    </w:p>
    <w:p w14:paraId="1DC8EDBE" w14:textId="77777777" w:rsidR="00E3550F" w:rsidRPr="00E3550F" w:rsidRDefault="00E3550F" w:rsidP="00E3550F">
      <w:pPr>
        <w:widowControl w:val="0"/>
        <w:numPr>
          <w:ilvl w:val="3"/>
          <w:numId w:val="23"/>
        </w:numPr>
        <w:tabs>
          <w:tab w:val="left" w:pos="360"/>
          <w:tab w:val="left" w:pos="810"/>
        </w:tabs>
        <w:autoSpaceDE w:val="0"/>
        <w:autoSpaceDN w:val="0"/>
        <w:spacing w:before="0" w:after="0"/>
        <w:ind w:left="450" w:firstLine="0"/>
        <w:rPr>
          <w:szCs w:val="24"/>
        </w:rPr>
      </w:pPr>
      <w:r w:rsidRPr="00E3550F">
        <w:rPr>
          <w:szCs w:val="24"/>
        </w:rPr>
        <w:t>Unilateral modifications that are authorized by clauses other than the Changes clause (e.g., Property clause, Options clause, or Suspension of Work clause (FAR 43.103(b)(3)).</w:t>
      </w:r>
    </w:p>
    <w:p w14:paraId="40554ABF" w14:textId="77777777" w:rsidR="00E3550F" w:rsidRPr="00E3550F" w:rsidRDefault="00E3550F" w:rsidP="00E3550F">
      <w:pPr>
        <w:widowControl w:val="0"/>
        <w:tabs>
          <w:tab w:val="left" w:pos="360"/>
        </w:tabs>
        <w:autoSpaceDE w:val="0"/>
        <w:autoSpaceDN w:val="0"/>
        <w:spacing w:before="0" w:after="0"/>
        <w:ind w:left="450"/>
        <w:rPr>
          <w:szCs w:val="24"/>
        </w:rPr>
      </w:pPr>
    </w:p>
    <w:p w14:paraId="2321481F" w14:textId="77777777" w:rsidR="00E3550F" w:rsidRPr="00E3550F" w:rsidRDefault="00E3550F" w:rsidP="00E3550F">
      <w:pPr>
        <w:widowControl w:val="0"/>
        <w:tabs>
          <w:tab w:val="left" w:pos="360"/>
        </w:tabs>
        <w:autoSpaceDE w:val="0"/>
        <w:autoSpaceDN w:val="0"/>
        <w:spacing w:before="0" w:after="0"/>
        <w:ind w:left="450"/>
        <w:rPr>
          <w:szCs w:val="24"/>
        </w:rPr>
      </w:pPr>
      <w:r w:rsidRPr="00E3550F">
        <w:rPr>
          <w:szCs w:val="24"/>
        </w:rPr>
        <w:t>(S-92) General Counsel shall be consulted in cases where the contracting officer cannot make a clear determination whether the proposed modification is within scope of the existing contract or task order.</w:t>
      </w:r>
    </w:p>
    <w:p w14:paraId="4ED892B8" w14:textId="77777777" w:rsidR="00E3550F" w:rsidRPr="00E3550F" w:rsidRDefault="00E3550F" w:rsidP="00E3550F">
      <w:pPr>
        <w:widowControl w:val="0"/>
        <w:tabs>
          <w:tab w:val="left" w:pos="360"/>
        </w:tabs>
        <w:autoSpaceDE w:val="0"/>
        <w:autoSpaceDN w:val="0"/>
        <w:spacing w:before="0" w:after="0"/>
        <w:ind w:left="450"/>
        <w:rPr>
          <w:szCs w:val="24"/>
        </w:rPr>
      </w:pPr>
    </w:p>
    <w:p w14:paraId="6581854B" w14:textId="77777777" w:rsidR="00E3550F" w:rsidRPr="00E3550F" w:rsidRDefault="00E3550F" w:rsidP="00E3550F">
      <w:pPr>
        <w:widowControl w:val="0"/>
        <w:tabs>
          <w:tab w:val="left" w:pos="360"/>
        </w:tabs>
        <w:autoSpaceDE w:val="0"/>
        <w:autoSpaceDN w:val="0"/>
        <w:spacing w:before="0" w:after="0"/>
        <w:ind w:left="450"/>
        <w:rPr>
          <w:szCs w:val="24"/>
        </w:rPr>
      </w:pPr>
      <w:r w:rsidRPr="00E3550F">
        <w:rPr>
          <w:szCs w:val="24"/>
        </w:rPr>
        <w:t xml:space="preserve">(S-93) In-scope changes to an existing contract shall be issued in accordance with FAR </w:t>
      </w:r>
      <w:r w:rsidRPr="00E3550F">
        <w:rPr>
          <w:szCs w:val="24"/>
        </w:rPr>
        <w:lastRenderedPageBreak/>
        <w:t>43.2. When a proposed change requires a modification outside of the general scope of a contract the contracting officer must either:</w:t>
      </w:r>
    </w:p>
    <w:p w14:paraId="34E37007" w14:textId="77777777" w:rsidR="00E3550F" w:rsidRPr="00E3550F" w:rsidRDefault="00E3550F" w:rsidP="00E3550F">
      <w:pPr>
        <w:widowControl w:val="0"/>
        <w:tabs>
          <w:tab w:val="left" w:pos="360"/>
        </w:tabs>
        <w:autoSpaceDE w:val="0"/>
        <w:autoSpaceDN w:val="0"/>
        <w:spacing w:before="0" w:after="0"/>
        <w:ind w:left="450"/>
        <w:rPr>
          <w:szCs w:val="24"/>
        </w:rPr>
      </w:pPr>
    </w:p>
    <w:p w14:paraId="144D97F5" w14:textId="77777777" w:rsidR="00E3550F" w:rsidRPr="00E3550F" w:rsidRDefault="00E3550F" w:rsidP="00E3550F">
      <w:pPr>
        <w:widowControl w:val="0"/>
        <w:numPr>
          <w:ilvl w:val="0"/>
          <w:numId w:val="24"/>
        </w:numPr>
        <w:tabs>
          <w:tab w:val="left" w:pos="360"/>
          <w:tab w:val="left" w:pos="806"/>
        </w:tabs>
        <w:autoSpaceDE w:val="0"/>
        <w:autoSpaceDN w:val="0"/>
        <w:spacing w:before="0" w:after="0"/>
        <w:ind w:left="450" w:firstLine="0"/>
        <w:rPr>
          <w:szCs w:val="24"/>
        </w:rPr>
      </w:pPr>
      <w:r w:rsidRPr="00E3550F">
        <w:rPr>
          <w:szCs w:val="24"/>
        </w:rPr>
        <w:t>Competitively solicit the requirement;</w:t>
      </w:r>
      <w:r w:rsidRPr="00E3550F">
        <w:rPr>
          <w:spacing w:val="-7"/>
          <w:szCs w:val="24"/>
        </w:rPr>
        <w:t xml:space="preserve"> </w:t>
      </w:r>
      <w:r w:rsidRPr="00E3550F">
        <w:rPr>
          <w:szCs w:val="24"/>
        </w:rPr>
        <w:t>or,</w:t>
      </w:r>
    </w:p>
    <w:p w14:paraId="7FCB5C8E" w14:textId="77777777" w:rsidR="00E3550F" w:rsidRPr="00E3550F" w:rsidRDefault="00E3550F" w:rsidP="00E3550F">
      <w:pPr>
        <w:widowControl w:val="0"/>
        <w:tabs>
          <w:tab w:val="left" w:pos="360"/>
        </w:tabs>
        <w:autoSpaceDE w:val="0"/>
        <w:autoSpaceDN w:val="0"/>
        <w:spacing w:before="0" w:after="0"/>
        <w:ind w:left="450"/>
        <w:rPr>
          <w:szCs w:val="24"/>
        </w:rPr>
      </w:pPr>
    </w:p>
    <w:p w14:paraId="37AAA986" w14:textId="77777777" w:rsidR="00E3550F" w:rsidRPr="00E3550F" w:rsidRDefault="00E3550F" w:rsidP="00E3550F">
      <w:pPr>
        <w:widowControl w:val="0"/>
        <w:numPr>
          <w:ilvl w:val="0"/>
          <w:numId w:val="24"/>
        </w:numPr>
        <w:tabs>
          <w:tab w:val="left" w:pos="360"/>
          <w:tab w:val="left" w:pos="873"/>
        </w:tabs>
        <w:autoSpaceDE w:val="0"/>
        <w:autoSpaceDN w:val="0"/>
        <w:spacing w:before="0" w:after="0"/>
        <w:ind w:left="450" w:firstLine="0"/>
        <w:rPr>
          <w:szCs w:val="24"/>
        </w:rPr>
      </w:pPr>
      <w:r w:rsidRPr="00E3550F">
        <w:rPr>
          <w:szCs w:val="24"/>
        </w:rPr>
        <w:t>Issue the modification in accordance with the non-competitive procedures at FAR 6.303, 8.405-6, or</w:t>
      </w:r>
      <w:r w:rsidRPr="00E3550F">
        <w:rPr>
          <w:spacing w:val="-2"/>
          <w:szCs w:val="24"/>
        </w:rPr>
        <w:t xml:space="preserve"> </w:t>
      </w:r>
      <w:r w:rsidRPr="00E3550F">
        <w:rPr>
          <w:szCs w:val="24"/>
        </w:rPr>
        <w:t>16.505(b)(2).</w:t>
      </w:r>
    </w:p>
    <w:p w14:paraId="3B95D57B" w14:textId="77777777" w:rsidR="000C6552" w:rsidRPr="00A316AE" w:rsidRDefault="000C6552" w:rsidP="000C6552">
      <w:pPr>
        <w:widowControl w:val="0"/>
        <w:autoSpaceDE w:val="0"/>
        <w:autoSpaceDN w:val="0"/>
        <w:spacing w:before="0" w:after="0"/>
        <w:ind w:left="450"/>
        <w:rPr>
          <w:szCs w:val="24"/>
        </w:rPr>
      </w:pPr>
    </w:p>
    <w:sectPr w:rsidR="000C6552" w:rsidRPr="00A316AE" w:rsidSect="00715ABF">
      <w:headerReference w:type="default" r:id="rId24"/>
      <w:footerReference w:type="default" r:id="rId2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4CDE6A8"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FF5307">
      <w:t>4</w:t>
    </w:r>
    <w:r w:rsidR="009A26DC">
      <w:t>3</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07528E2F" w:rsidR="00A3201F" w:rsidRDefault="00A3201F">
    <w:pPr>
      <w:pBdr>
        <w:bottom w:val="single" w:sz="4" w:space="1" w:color="auto"/>
      </w:pBdr>
    </w:pPr>
    <w:r>
      <w:t>PART 5</w:t>
    </w:r>
    <w:r w:rsidR="00C8172E">
      <w:t>8</w:t>
    </w:r>
    <w:r w:rsidR="001257EF">
      <w:t>4</w:t>
    </w:r>
    <w:r w:rsidR="009A26DC">
      <w:t>3</w:t>
    </w:r>
    <w:r>
      <w:t xml:space="preserve"> —</w:t>
    </w:r>
    <w:r w:rsidR="007703C3">
      <w:t xml:space="preserve"> </w:t>
    </w:r>
    <w:r w:rsidR="009A26DC" w:rsidRPr="009A26DC">
      <w:t>Contract Modifications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4"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8"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9"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1"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2"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13"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5"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6"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7"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9"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2"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3"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6"/>
  </w:num>
  <w:num w:numId="3" w16cid:durableId="1507403811">
    <w:abstractNumId w:val="17"/>
  </w:num>
  <w:num w:numId="4" w16cid:durableId="1537740261">
    <w:abstractNumId w:val="11"/>
  </w:num>
  <w:num w:numId="5" w16cid:durableId="2102289336">
    <w:abstractNumId w:val="10"/>
  </w:num>
  <w:num w:numId="6" w16cid:durableId="617493034">
    <w:abstractNumId w:val="20"/>
  </w:num>
  <w:num w:numId="7" w16cid:durableId="968897945">
    <w:abstractNumId w:val="7"/>
  </w:num>
  <w:num w:numId="8" w16cid:durableId="181171776">
    <w:abstractNumId w:val="23"/>
  </w:num>
  <w:num w:numId="9" w16cid:durableId="1992247847">
    <w:abstractNumId w:val="13"/>
  </w:num>
  <w:num w:numId="10" w16cid:durableId="1758402562">
    <w:abstractNumId w:val="21"/>
  </w:num>
  <w:num w:numId="11" w16cid:durableId="1160926907">
    <w:abstractNumId w:val="9"/>
  </w:num>
  <w:num w:numId="12" w16cid:durableId="202862287">
    <w:abstractNumId w:val="15"/>
  </w:num>
  <w:num w:numId="13" w16cid:durableId="969745364">
    <w:abstractNumId w:val="8"/>
  </w:num>
  <w:num w:numId="14" w16cid:durableId="501507911">
    <w:abstractNumId w:val="19"/>
  </w:num>
  <w:num w:numId="15" w16cid:durableId="909925590">
    <w:abstractNumId w:val="4"/>
  </w:num>
  <w:num w:numId="16" w16cid:durableId="324011850">
    <w:abstractNumId w:val="0"/>
  </w:num>
  <w:num w:numId="17" w16cid:durableId="371658053">
    <w:abstractNumId w:val="6"/>
  </w:num>
  <w:num w:numId="18" w16cid:durableId="1249576330">
    <w:abstractNumId w:val="2"/>
  </w:num>
  <w:num w:numId="19" w16cid:durableId="1721858076">
    <w:abstractNumId w:val="5"/>
  </w:num>
  <w:num w:numId="20" w16cid:durableId="36780874">
    <w:abstractNumId w:val="22"/>
  </w:num>
  <w:num w:numId="21" w16cid:durableId="2021853314">
    <w:abstractNumId w:val="14"/>
  </w:num>
  <w:num w:numId="22" w16cid:durableId="1679311574">
    <w:abstractNumId w:val="3"/>
  </w:num>
  <w:num w:numId="23" w16cid:durableId="1285234446">
    <w:abstractNumId w:val="18"/>
  </w:num>
  <w:num w:numId="24" w16cid:durableId="4190537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1DF4"/>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21A5"/>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57EF"/>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240F"/>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542"/>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4D5C"/>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58F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87AFC"/>
    <w:rsid w:val="009905F5"/>
    <w:rsid w:val="00990EA0"/>
    <w:rsid w:val="009924C1"/>
    <w:rsid w:val="00992FB6"/>
    <w:rsid w:val="0099638F"/>
    <w:rsid w:val="00996E78"/>
    <w:rsid w:val="00997EED"/>
    <w:rsid w:val="009A03B3"/>
    <w:rsid w:val="009A08FC"/>
    <w:rsid w:val="009A10CC"/>
    <w:rsid w:val="009A1351"/>
    <w:rsid w:val="009A1FB9"/>
    <w:rsid w:val="009A208C"/>
    <w:rsid w:val="009A26D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B6C"/>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50F"/>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5307"/>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dfarspgi" TargetMode="External"/><Relationship Id="rId18" Type="http://schemas.openxmlformats.org/officeDocument/2006/relationships/hyperlink" Target="https://www.acquisition.gov/dfarspg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d365.sharepoint-mil.us/sites/disa-PL2/SitePages/Corporate-Library.aspx" TargetMode="External"/><Relationship Id="rId7" Type="http://schemas.openxmlformats.org/officeDocument/2006/relationships/settings" Target="settings.xml"/><Relationship Id="rId12" Type="http://schemas.openxmlformats.org/officeDocument/2006/relationships/hyperlink" Target="https://www.acquisition.gov/dfars" TargetMode="External"/><Relationship Id="rId17" Type="http://schemas.openxmlformats.org/officeDocument/2006/relationships/hyperlink" Target="mailto:disa.meade.PLD.mbx.pl22-policy-compliance-review@mail.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isa.meade.PLD.mbx.pl21-policy-branch@mail.mil" TargetMode="External"/><Relationship Id="rId20" Type="http://schemas.openxmlformats.org/officeDocument/2006/relationships/hyperlink" Target="https://www.acquisition.gov/dfarspg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disa.scott.ditco.mbx.cost-and-pricing-branch-ps842@mail.mil" TargetMode="External"/><Relationship Id="rId23" Type="http://schemas.openxmlformats.org/officeDocument/2006/relationships/hyperlink" Target="https://dod365.sharepoint-mil.us/sites/disa-PL2/SitePages/Corporate-Library.aspx"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acq.osd.mil/dpap/dars/pgi/pgi_htm/PGI217_74.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dfarspgi" TargetMode="External"/><Relationship Id="rId22" Type="http://schemas.openxmlformats.org/officeDocument/2006/relationships/hyperlink" Target="https://dod365.sharepoint-mil.us/sites/disa-PL2/SitePages/Corporate-Library.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665</Words>
  <Characters>5219</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9</cp:revision>
  <cp:lastPrinted>2019-08-21T14:52:00Z</cp:lastPrinted>
  <dcterms:created xsi:type="dcterms:W3CDTF">2024-04-01T21:26:00Z</dcterms:created>
  <dcterms:modified xsi:type="dcterms:W3CDTF">2024-04-12T15:32:00Z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