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**ID__DARS_209.405__ID**</w:t>
      </w:r>
    </w:p>
    <w:p>
      <w:pPr>
        <w:pStyle w:val="Heading3"/>
        <w:spacing w:after="199"/>
        <w:ind w:left="120"/>
        <w:jc w:val="left"/>
      </w:pPr>
      <w:r>
        <w:rPr>
          <w:rFonts w:ascii="Times New Roman" w:hAnsi="Times New Roman"/>
          <w:color w:val="000000"/>
          <w:sz w:val="31"/>
        </w:rPr>
        <w:t>209.405</w:t>
      </w:r>
      <w:r>
        <w:rPr>
          <w:rFonts w:ascii="Times New Roman" w:hAnsi="Times New Roman"/>
          <w:color w:val="000000"/>
          <w:sz w:val="31"/>
        </w:rPr>
        <w:t xml:space="preserve"> Effect of listing.</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CoCO, HCO, and </w:t>
      </w:r>
      <w:hyperlink r:id="rId4">
        <w:r>
          <w:rPr>
            <w:rStyle w:val="Hyperlink"/>
            <w:rFonts w:ascii="Times New Roman" w:hAnsi="Times New Roman"/>
            <w:b w:val="false"/>
            <w:i w:val="false"/>
            <w:color w:val="0000ff"/>
            <w:sz w:val="22"/>
            <w:u w:val="single"/>
          </w:rPr>
          <w:t>PL21</w:t>
        </w:r>
      </w:hyperlink>
      <w:r>
        <w:rPr>
          <w:rFonts w:ascii="Times New Roman" w:hAnsi="Times New Roman"/>
          <w:b w:val="false"/>
          <w:i w:val="false"/>
          <w:color w:val="000000"/>
          <w:sz w:val="22"/>
        </w:rPr>
        <w:t xml:space="preserve"> Contract </w:t>
      </w:r>
      <w:hyperlink r:id="rId5">
        <w:r>
          <w:rPr>
            <w:rStyle w:val="Hyperlink"/>
            <w:rFonts w:ascii="Times New Roman" w:hAnsi="Times New Roman"/>
            <w:b w:val="false"/>
            <w:i w:val="false"/>
            <w:color w:val="0000ff"/>
            <w:sz w:val="22"/>
            <w:u w:val="single"/>
          </w:rPr>
          <w:t>Policy Branch</w:t>
        </w:r>
      </w:hyperlink>
      <w:r>
        <w:rPr>
          <w:rFonts w:ascii="Times New Roman" w:hAnsi="Times New Roman"/>
          <w:b w:val="false"/>
          <w:i w:val="false"/>
          <w:color w:val="000000"/>
          <w:sz w:val="22"/>
        </w:rPr>
        <w:t xml:space="preserve"> shall work collaboratively with the DISA General Counsel Acquisition attorney-advisors to develop a written determination explaining the compelling reasons to continue to do business with a suspended or debarred contractor The HCA, after concurrence, will recommend review and approval to the DISA General Counsel. If approved, the GC will notify the GSA Suspension and Debarment Official, Office of Acquisition before submission to the GSA Office of Acquisition Policy.</w:t>
      </w:r>
    </w:p>
    <w:p>
      <w:pPr>
        <w:pBdr>
          <w:top w:space="5"/>
          <w:left w:space="5"/>
          <w:bottom w:space="5"/>
          <w:right w:space="5"/>
        </w:pBdr>
        <w:spacing w:after="0"/>
        <w:ind w:left="225"/>
        <w:jc w:val="left"/>
      </w:pPr>
      <w:r>
        <w:rPr>
          <w:rFonts w:ascii="Times New Roman" w:hAnsi="Times New Roman"/>
          <w:b w:val="false"/>
          <w:i w:val="false"/>
          <w:color w:val="000000"/>
          <w:sz w:val="22"/>
        </w:rPr>
        <w:t xml:space="preserve">(b)(ii) The contracting officer shall provide a written determination for a Code “H” exemption to the </w:t>
      </w:r>
      <w:hyperlink r:id="rId6">
        <w:r>
          <w:rPr>
            <w:rStyle w:val="Hyperlink"/>
            <w:rFonts w:ascii="Times New Roman" w:hAnsi="Times New Roman"/>
            <w:b w:val="false"/>
            <w:i w:val="false"/>
            <w:color w:val="0000ff"/>
            <w:sz w:val="22"/>
            <w:u w:val="single"/>
          </w:rPr>
          <w:t>PL21, Contract</w:t>
        </w:r>
      </w:hyperlink>
      <w:hyperlink r:id="rId7">
        <w:r>
          <w:rPr>
            <w:rStyle w:val="Hyperlink"/>
            <w:rFonts w:ascii="Times New Roman" w:hAnsi="Times New Roman"/>
            <w:b w:val="false"/>
            <w:i w:val="false"/>
            <w:color w:val="0000ff"/>
            <w:sz w:val="22"/>
            <w:u w:val="single"/>
          </w:rPr>
          <w:t>Policy Branch</w:t>
        </w:r>
      </w:hyperlink>
      <w:r>
        <w:rPr>
          <w:rFonts w:ascii="Times New Roman" w:hAnsi="Times New Roman"/>
          <w:b w:val="false"/>
          <w:i w:val="false"/>
          <w:color w:val="000000"/>
          <w:sz w:val="22"/>
        </w:rPr>
        <w:t xml:space="preserve"> for review and approval by the HCA, and notification to the Environmental Protection Agency.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disa.meade.PLD.mbx.pl21-policy-branch@mail.mil" Type="http://schemas.openxmlformats.org/officeDocument/2006/relationships/hyperlink" Id="rId4"/>
    <Relationship TargetMode="External" Target="mailto:disa.meade.PLD.mbx.pl21-policy-branch@mail.mil" Type="http://schemas.openxmlformats.org/officeDocument/2006/relationships/hyperlink" Id="rId5"/>
    <Relationship TargetMode="External" Target="mailto:disa.meade.PLD.mbx.pl21-policy-branch@mail.mil" Type="http://schemas.openxmlformats.org/officeDocument/2006/relationships/hyperlink" Id="rId6"/>
    <Relationship TargetMode="External" Target="mailto:disa.meade.PLD.mbx.pl21-policy-branch@mail.mil"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