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**ID__DARS_9.504__ID**</w:t>
      </w:r>
    </w:p>
    <w:p>
      <w:pPr>
        <w:pStyle w:val="Heading3"/>
        <w:spacing w:after="199"/>
        <w:ind w:left="120"/>
        <w:jc w:val="left"/>
      </w:pPr>
      <w:r>
        <w:rPr>
          <w:rFonts w:ascii="Times New Roman" w:hAnsi="Times New Roman"/>
          <w:color w:val="000000"/>
          <w:sz w:val="31"/>
        </w:rPr>
        <w:t>9.504</w:t>
      </w:r>
      <w:r>
        <w:rPr>
          <w:rFonts w:ascii="Times New Roman" w:hAnsi="Times New Roman"/>
          <w:color w:val="000000"/>
          <w:sz w:val="31"/>
        </w:rPr>
        <w:t xml:space="preserve"> Contracting officer responsibilities.</w:t>
      </w:r>
    </w:p>
    <w:p>
      <w:pPr>
        <w:pBdr>
          <w:top w:space="5"/>
          <w:left w:space="5"/>
          <w:bottom w:space="5"/>
          <w:right w:space="5"/>
        </w:pBdr>
        <w:spacing w:after="0"/>
        <w:ind w:left="225"/>
        <w:jc w:val="left"/>
      </w:pPr>
      <w:r>
        <w:rPr>
          <w:rFonts w:ascii="Times New Roman" w:hAnsi="Times New Roman"/>
          <w:b w:val="false"/>
          <w:i w:val="false"/>
          <w:color w:val="000000"/>
          <w:sz w:val="22"/>
        </w:rPr>
        <w:t>(b) Review the contractor’s Organizational and Consultant Conflicts of Interest Plan (OCCIP) to determine if a potential or actual conflict exists.</w:t>
      </w:r>
    </w:p>
    <w:p>
      <w:pPr>
        <w:pBdr>
          <w:top w:space="5"/>
          <w:left w:space="5"/>
          <w:bottom w:space="5"/>
          <w:right w:space="5"/>
        </w:pBdr>
        <w:spacing w:after="0"/>
        <w:ind w:left="225"/>
        <w:jc w:val="left"/>
      </w:pPr>
      <w:r>
        <w:rPr>
          <w:rFonts w:ascii="Times New Roman" w:hAnsi="Times New Roman"/>
          <w:b w:val="false"/>
          <w:i w:val="false"/>
          <w:color w:val="000000"/>
          <w:sz w:val="22"/>
        </w:rPr>
        <w:t>(d) IAW Special Contract Requirement H1 OCCI (See DARS PGI 52),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