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**ID__DARS_9.508__ID**</w:t>
      </w:r>
    </w:p>
    <w:p>
      <w:pPr>
        <w:pStyle w:val="Heading3"/>
        <w:spacing w:after="199"/>
        <w:ind w:left="120"/>
        <w:jc w:val="left"/>
      </w:pPr>
      <w:r>
        <w:rPr>
          <w:rFonts w:ascii="Times New Roman" w:hAnsi="Times New Roman"/>
          <w:color w:val="000000"/>
          <w:sz w:val="31"/>
        </w:rPr>
        <w:t>9.508</w:t>
      </w:r>
      <w:r>
        <w:rPr>
          <w:rFonts w:ascii="Times New Roman" w:hAnsi="Times New Roman"/>
          <w:color w:val="000000"/>
          <w:sz w:val="31"/>
        </w:rPr>
        <w:t xml:space="preserve"> Examples.</w:t>
      </w:r>
    </w:p>
    <w:p>
      <w:pPr>
        <w:pBdr>
          <w:top w:space="5"/>
          <w:left w:space="5"/>
          <w:bottom w:space="5"/>
          <w:right w:space="5"/>
        </w:pBdr>
        <w:spacing w:after="0"/>
        <w:ind w:left="225"/>
        <w:jc w:val="left"/>
      </w:pPr>
      <w:r>
        <w:rPr>
          <w:rFonts w:ascii="Times New Roman" w:hAnsi="Times New Roman"/>
          <w:b w:val="false"/>
          <w:i w:val="false"/>
          <w:color w:val="000000"/>
          <w:sz w:val="22"/>
        </w:rPr>
        <w:t>(S-90) Contractor participation in more than one of the following areas may give rise to an unfair competitive advantage resulting from access to advance acquisition planning, source selection sensitive or proprietary information. Furthermore, contractor participation in more 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 occur:</w:t>
      </w:r>
    </w:p>
    <w:p>
      <w:pPr>
        <w:pBdr>
          <w:top w:space="5"/>
          <w:left w:space="5"/>
          <w:bottom w:space="5"/>
          <w:right w:space="5"/>
        </w:pBdr>
        <w:spacing w:after="0"/>
        <w:ind w:left="225"/>
        <w:jc w:val="left"/>
      </w:pPr>
      <w:r>
        <w:rPr>
          <w:rFonts w:ascii="Times New Roman" w:hAnsi="Times New Roman"/>
          <w:b w:val="false"/>
          <w:i/>
          <w:color w:val="000000"/>
          <w:sz w:val="22"/>
        </w:rPr>
        <w:t>Providing systems engineering, technical direction, or product support</w:t>
      </w:r>
      <w:r>
        <w:rPr>
          <w:rFonts w:ascii="Times New Roman" w:hAnsi="Times New Roman"/>
          <w:b w:val="false"/>
          <w:i w:val="false"/>
          <w:color w:val="000000"/>
          <w:sz w:val="22"/>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Preparing specifications and work statements</w:t>
      </w:r>
      <w:r>
        <w:rPr>
          <w:rFonts w:ascii="Times New Roman" w:hAnsi="Times New Roman"/>
          <w:b w:val="false"/>
          <w:i w:val="false"/>
          <w:color w:val="000000"/>
          <w:sz w:val="22"/>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 support.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Providing evaluation services</w:t>
      </w:r>
      <w:r>
        <w:rPr>
          <w:rFonts w:ascii="Times New Roman" w:hAnsi="Times New Roman"/>
          <w:b w:val="false"/>
          <w:i w:val="false"/>
          <w:color w:val="000000"/>
          <w:sz w:val="22"/>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Obtaining access to proprietary information</w:t>
      </w:r>
      <w:r>
        <w:rPr>
          <w:rFonts w:ascii="Times New Roman" w:hAnsi="Times New Roman"/>
          <w:b w:val="false"/>
          <w:i w:val="false"/>
          <w:color w:val="000000"/>
          <w:sz w:val="22"/>
        </w:rPr>
        <w:t>. When a contractor requires proprietary information from others to perform on a Government contract and can use the leverage of the contract to obtain it, the contractor may gain an unfair competitive advantage unless restrictions are imposed. These restrictions protect the information and require companies to provide it</w:t>
      </w:r>
    </w:p>
    <w:p>
      <w:pPr>
        <w:pBdr>
          <w:top w:space="5"/>
          <w:left w:space="5"/>
          <w:bottom w:space="5"/>
          <w:right w:space="5"/>
        </w:pBdr>
        <w:spacing w:after="0"/>
        <w:ind w:left="225"/>
        <w:jc w:val="left"/>
      </w:pPr>
      <w:r>
        <w:rPr>
          <w:rFonts w:ascii="Times New Roman" w:hAnsi="Times New Roman"/>
          <w:b w:val="false"/>
          <w:i w:val="false"/>
          <w:color w:val="000000"/>
          <w:sz w:val="22"/>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15000" cy="95250"/>
                    </a:xfrm>
                    <a:prstGeom prst="rect">
                      <a:avLst/>
                    </a:prstGeom>
                  </pic:spPr>
                </pic:pic>
              </a:graphicData>
            </a:graphic>
          </wp:inline>
        </w:drawing>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