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**ID__DARS_210.001__ID**</w:t>
      </w:r>
    </w:p>
    <w:p>
      <w:pPr>
        <w:pStyle w:val="Heading2"/>
        <w:spacing w:after="180"/>
        <w:ind w:left="120"/>
        <w:jc w:val="left"/>
      </w:pPr>
      <w:r>
        <w:rPr>
          <w:rFonts w:ascii="Times New Roman" w:hAnsi="Times New Roman"/>
          <w:color w:val="000000"/>
          <w:sz w:val="36"/>
        </w:rPr>
        <w:t>210.001</w:t>
      </w:r>
      <w:r>
        <w:rPr>
          <w:rFonts w:ascii="Times New Roman" w:hAnsi="Times New Roman"/>
          <w:color w:val="000000"/>
          <w:sz w:val="36"/>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(a)(ii) The program office or the requiring activity must address whether the acquisition can or cannot be set-aside for small businesses in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(S-90) The contracting officer will thoroughly review and validate as appropriate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The program office or requiring activity and the contracting officer must fully document and detail market research with respect to small business participation. Market research must document to what extent the small business community, as a whole, has or does not have the ability to support the requirement. If the resulting acquisition strategy does not include a small business set-aside, market research documentation should explicitly explain why a set-aside is not appropriate. The contracting officer will certify by signature on the market research report whether or not the results support or do not support setting aside the acquisition.</w:t>
      </w:r>
    </w:p>
    <w:p>
      <w:pPr>
        <w:pBdr>
          <w:top w:space="5"/>
          <w:left w:space="5"/>
          <w:bottom w:space="5"/>
          <w:right w:space="5"/>
        </w:pBdr>
        <w:spacing w:after="0"/>
        <w:ind w:left="225"/>
        <w:jc w:val="left"/>
      </w:pPr>
      <w:r>
        <w:rPr>
          <w:rFonts w:ascii="Times New Roman" w:hAnsi="Times New Roman"/>
          <w:b w:val="false"/>
          <w:i w:val="false"/>
          <w:color w:val="000000"/>
          <w:sz w:val="22"/>
        </w:rPr>
        <w:t>(2) When market research indicates that the small business community, as a whole, does not possess the required capability or capacity to perform as a prime contractor, consideration must be given to small business subcontracting. The market research report should address subcontracting opportunities for small businesses.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shall notify the OSBP via e-mail of all industry days, including date, time and location of event, in sufficient time for OSBP participation using the title “Industry Day Notification” to the OSBP email: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disa.meade.osbp.mbx.ditco-small-business-office@mail.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