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**ID__DARS_10.002__ID**</w:t>
      </w:r>
    </w:p>
    <w:p>
      <w:pPr>
        <w:pStyle w:val="Heading2"/>
        <w:spacing w:after="180"/>
        <w:ind w:left="120"/>
        <w:jc w:val="left"/>
      </w:pPr>
      <w:r>
        <w:rPr>
          <w:rFonts w:ascii="Times New Roman" w:hAnsi="Times New Roman"/>
          <w:color w:val="000000"/>
          <w:sz w:val="36"/>
        </w:rPr>
        <w:t>10.002</w:t>
      </w:r>
      <w:r>
        <w:rPr>
          <w:rFonts w:ascii="Times New Roman" w:hAnsi="Times New Roman"/>
          <w:color w:val="000000"/>
          <w:sz w:val="36"/>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(b)(2)</w:t>
      </w:r>
    </w:p>
    <w:p>
      <w:pPr>
        <w:pBdr>
          <w:top w:space="5"/>
          <w:left w:space="5"/>
          <w:bottom w:space="5"/>
          <w:right w:space="5"/>
        </w:pBdr>
        <w:spacing w:after="0"/>
        <w:ind w:left="225"/>
        <w:jc w:val="left"/>
      </w:pPr>
      <w:r>
        <w:rPr>
          <w:rFonts w:ascii="Times New Roman" w:hAnsi="Times New Roman"/>
          <w:b w:val="false"/>
          <w:i w:val="false"/>
          <w:color w:val="000000"/>
          <w:sz w:val="22"/>
        </w:rPr>
        <w:t xml:space="preserve">(ix) The contracting officer shall document and attach the results of the SBA Dynamic Small Business Search tool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http://dsbs.sba.gov/dsbs/search/dsp_dsbs.cfm</w:t>
        </w:r>
      </w:hyperlink>
      <w:r>
        <w:rPr>
          <w:rFonts w:ascii="Times New Roman" w:hAnsi="Times New Roman"/>
          <w:b w:val="false"/>
          <w:i w:val="false"/>
          <w:color w:val="000000"/>
          <w:sz w:val="22"/>
        </w:rPr>
        <w:t xml:space="preserve"> to the Market Research Report and forward with the DD Form 2579 to OSBP for review. Assistance is available from the OSBP when seeking potential sources.</w:t>
      </w:r>
    </w:p>
    <w:p>
      <w:pPr>
        <w:pBdr>
          <w:top w:space="5"/>
          <w:left w:space="5"/>
          <w:bottom w:space="5"/>
          <w:right w:space="5"/>
        </w:pBdr>
        <w:spacing w:after="0"/>
        <w:ind w:left="225"/>
        <w:jc w:val="left"/>
      </w:pPr>
      <w:r>
        <w:rPr>
          <w:rFonts w:ascii="Times New Roman" w:hAnsi="Times New Roman"/>
          <w:b w:val="false"/>
          <w:i w:val="false"/>
          <w:color w:val="000000"/>
          <w:sz w:val="22"/>
        </w:rPr>
        <w:t>(x) Post procurement notices to Contract Opportunities including SSNs or RFIs. (See DARS 19.202 (S-93)(2)(3)).</w:t>
      </w:r>
    </w:p>
    <w:p>
      <w:pPr>
        <w:pBdr>
          <w:top w:space="5"/>
          <w:left w:space="5"/>
          <w:bottom w:space="5"/>
          <w:right w:space="5"/>
        </w:pBdr>
        <w:spacing w:after="0"/>
        <w:ind w:left="225"/>
        <w:jc w:val="left"/>
      </w:pPr>
      <w:r>
        <w:rPr>
          <w:rFonts w:ascii="Times New Roman" w:hAnsi="Times New Roman"/>
          <w:b w:val="false"/>
          <w:i w:val="false"/>
          <w:color w:val="000000"/>
          <w:sz w:val="22"/>
        </w:rPr>
        <w:t>(A) A RFI is used to develop requirements and make decisions regarding acquisition strategies when limited or no acquisition history is available and when industry input is required. When an RFI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at least 21 business days to ensure maximum participation by small business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RFI template at </w:t>
      </w:r>
      <w:hyperlink r:id="rId5">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(B) A SSN is used when there is a known requirement with a previous procurement history, or a well-defined new requirement. When a SSN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 minimum of 14 calendar days to ensure maximum feedback.</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SSN template at </w:t>
      </w:r>
      <w:hyperlink r:id="rId6">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(S-90) Except for the issuance of a SSN or RFI, market research is primarily the responsibility of the program office or the requiring activity. Market research documentation must be complete, unbiased, and supported by facts, not more than 12 months old (for award of contracts other than task or delivery orders) and provided as part of the requirements package. Include the market research report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Market Research Report (MRR) templates are located in </w:t>
      </w:r>
      <w:hyperlink r:id="rId7">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10.002(S-91).</w:t>
      </w:r>
    </w:p>
    <w:p>
      <w:pPr>
        <w:pBdr>
          <w:top w:space="5"/>
          <w:left w:space="5"/>
          <w:bottom w:space="5"/>
          <w:right w:space="5"/>
        </w:pBdr>
        <w:spacing w:after="0"/>
        <w:ind w:left="225"/>
        <w:jc w:val="center"/>
      </w:pPr>
      <w:r>
        <w:rPr>
          <w:rFonts w:ascii="Times New Roman" w:hAnsi="Times New Roman"/>
          <w:b/>
          <w:i w:val="false"/>
          <w:color w:val="000000"/>
          <w:sz w:val="22"/>
        </w:rPr>
        <w:t>Table 10-1 MRR Template Type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 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Template Type</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&lt;SAT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Procurements equal to or under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(Equal to or Under SAT)</w:t>
            </w:r>
          </w:p>
          <w:p>
            <w:pPr>
              <w:pBdr>
                <w:top w:space="5"/>
                <w:left w:space="5"/>
                <w:bottom w:space="5"/>
                <w:right w:space="5"/>
              </w:pBdr>
              <w:spacing w:after="0"/>
              <w:ind w:left="240"/>
              <w:jc w:val="left"/>
            </w:pPr>
            <w:r>
              <w:rPr>
                <w:rFonts w:ascii="Times New Roman" w:hAnsi="Times New Roman"/>
                <w:b w:val="false"/>
                <w:i w:val="false"/>
                <w:color w:val="000000"/>
                <w:sz w:val="22"/>
              </w:rPr>
              <w:t>(Enclosure 14d)</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Service Procurements over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(Services)</w:t>
            </w:r>
          </w:p>
          <w:p>
            <w:pPr>
              <w:pBdr>
                <w:top w:space="5"/>
                <w:left w:space="5"/>
                <w:bottom w:space="5"/>
                <w:right w:space="5"/>
              </w:pBdr>
              <w:spacing w:after="0"/>
              <w:ind w:left="240"/>
              <w:jc w:val="left"/>
            </w:pPr>
            <w:r>
              <w:rPr>
                <w:rFonts w:ascii="Times New Roman" w:hAnsi="Times New Roman"/>
                <w:b w:val="false"/>
                <w:i w:val="false"/>
                <w:color w:val="000000"/>
                <w:sz w:val="22"/>
              </w:rPr>
              <w:t>(Enclosure 14a)</w:t>
            </w:r>
          </w:p>
        </w:tc>
      </w:tr>
      <w:tr>
        <w:trPr>
          <w:trHeight w:val="27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One-time Competitive Product Purchase over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(Product Purchases only)</w:t>
            </w:r>
          </w:p>
          <w:p>
            <w:pPr>
              <w:pBdr>
                <w:top w:space="5"/>
                <w:left w:space="5"/>
                <w:bottom w:space="5"/>
                <w:right w:space="5"/>
              </w:pBdr>
              <w:spacing w:after="0"/>
              <w:ind w:left="240"/>
              <w:jc w:val="left"/>
            </w:pPr>
            <w:r>
              <w:rPr>
                <w:rFonts w:ascii="Times New Roman" w:hAnsi="Times New Roman"/>
                <w:b w:val="false"/>
                <w:i w:val="false"/>
                <w:color w:val="000000"/>
                <w:sz w:val="22"/>
              </w:rPr>
              <w:t>(Enclosure 14b)</w:t>
            </w:r>
          </w:p>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Note: If requirement covers multiple years of</w:t>
            </w:r>
            <w:r>
              <w:rPr>
                <w:rFonts w:ascii="Times New Roman" w:hAnsi="Times New Roman"/>
                <w:b w:val="false"/>
                <w:i/>
                <w:color w:val="000000"/>
                <w:sz w:val="22"/>
              </w:rPr>
              <w:t>product buys, use Encl 14a</w:t>
            </w:r>
            <w:r>
              <w:rPr>
                <w:rFonts w:ascii="Times New Roman" w:hAnsi="Times New Roman"/>
                <w:b w:val="false"/>
                <w:i w:val="false"/>
                <w:color w:val="000000"/>
                <w:sz w:val="22"/>
              </w:rPr>
              <w:t>)</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Exercise 52.217-9 Options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(Option Exercise)</w:t>
            </w:r>
          </w:p>
          <w:p>
            <w:pPr>
              <w:pBdr>
                <w:top w:space="5"/>
                <w:left w:space="5"/>
                <w:bottom w:space="5"/>
                <w:right w:space="5"/>
              </w:pBdr>
              <w:spacing w:after="0"/>
              <w:ind w:left="240"/>
              <w:jc w:val="left"/>
            </w:pPr>
            <w:r>
              <w:rPr>
                <w:rFonts w:ascii="Times New Roman" w:hAnsi="Times New Roman"/>
                <w:b w:val="false"/>
                <w:i w:val="false"/>
                <w:color w:val="000000"/>
                <w:sz w:val="22"/>
              </w:rPr>
              <w:t>(Enclosure 14c)</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w:t>
            </w:r>
          </w:p>
          <w:p>
            <w:pPr>
              <w:pBdr>
                <w:top w:space="5"/>
                <w:left w:space="5"/>
                <w:bottom w:space="5"/>
                <w:right w:space="5"/>
              </w:pBdr>
              <w:spacing w:after="0"/>
              <w:ind w:left="240"/>
              <w:jc w:val="left"/>
            </w:pPr>
            <w:r>
              <w:rPr>
                <w:rFonts w:ascii="Times New Roman" w:hAnsi="Times New Roman"/>
                <w:b w:val="false"/>
                <w:i w:val="false"/>
                <w:color w:val="000000"/>
                <w:sz w:val="22"/>
              </w:rPr>
              <w:t>(Enclosure 14e)</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Direct 8(a)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 8(a))</w:t>
            </w:r>
          </w:p>
          <w:p>
            <w:pPr>
              <w:pBdr>
                <w:top w:space="5"/>
                <w:left w:space="5"/>
                <w:bottom w:space="5"/>
                <w:right w:space="5"/>
              </w:pBdr>
              <w:spacing w:after="0"/>
              <w:ind w:left="240"/>
              <w:jc w:val="left"/>
            </w:pPr>
            <w:r>
              <w:rPr>
                <w:rFonts w:ascii="Times New Roman" w:hAnsi="Times New Roman"/>
                <w:b w:val="false"/>
                <w:i w:val="false"/>
                <w:color w:val="000000"/>
                <w:sz w:val="22"/>
              </w:rPr>
              <w:t>(Enclosure 14f)</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Exceptions to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Undefinitized Contract Actions (UCA)</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52.217-8 Options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val="false"/>
          <w:color w:val="000000"/>
          <w:sz w:val="22"/>
          <w:u w:val="single"/>
        </w:rPr>
        <w:t>F</w:t>
      </w:r>
      <w:r>
        <w:rPr>
          <w:rFonts w:ascii="Times New Roman" w:hAnsi="Times New Roman"/>
          <w:b w:val="false"/>
          <w:i w:val="false"/>
          <w:color w:val="000000"/>
          <w:sz w:val="22"/>
        </w:rPr>
        <w:t xml:space="preserve">or DISA-only requirements, the contracting officer shall email the final, signed, and redacted Market Research Report to the Market Research Repository mailbox at </w:t>
      </w:r>
      <w:hyperlink r:id="rId8">
        <w:r>
          <w:rPr>
            <w:rStyle w:val="Hyperlink"/>
            <w:rFonts w:ascii="Times New Roman" w:hAnsi="Times New Roman"/>
            <w:b w:val="false"/>
            <w:i w:val="false"/>
            <w:color w:val="0000ff"/>
            <w:sz w:val="22"/>
            <w:u w:val="single"/>
          </w:rPr>
          <w:t>DISA Ft Meade BD Mailbox MRR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715000" cy="95250"/>
                    </a:xfrm>
                    <a:prstGeom prst="rect">
                      <a:avLst/>
                    </a:prstGeom>
                  </pic:spPr>
                </pic:pic>
              </a:graphicData>
            </a:graphic>
          </wp:inline>
        </w:drawing>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dsbs.sba.gov/dsbs/search/dsp_dsbs.cfm" Type="http://schemas.openxmlformats.org/officeDocument/2006/relationships/hyperlink" Id="rId4"/>
    <Relationship TargetMode="External" Target="https://disa.deps.mil/org/PL2/Pages/DITCORefs.aspx" Type="http://schemas.openxmlformats.org/officeDocument/2006/relationships/hyperlink" Id="rId5"/>
    <Relationship TargetMode="External" Target="https://disa.deps.mil/org/PL2/Pages/DITCORefs.aspx" Type="http://schemas.openxmlformats.org/officeDocument/2006/relationships/hyperlink" Id="rId6"/>
    <Relationship TargetMode="External" Target="https://disa.deps.mil/org/PL2/Pages/DITCORefs.aspx" Type="http://schemas.openxmlformats.org/officeDocument/2006/relationships/hyperlink" Id="rId7"/>
    <Relationship TargetMode="External" Target="mailto:disa.meade.bd.mbx.mrr@mail.mil" Type="http://schemas.openxmlformats.org/officeDocument/2006/relationships/hyperlink" Id="rId8"/>
    <Relationship Target="media/document_image_rId9.png" Type="http://schemas.openxmlformats.org/officeDocument/2006/relationships/image"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