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13</w:t>
      </w:r>
      <w:r>
        <w:rPr>
          <w:rFonts w:ascii="Times New Roman" w:hAnsi="Times New Roman"/>
          <w:color w:val="000000"/>
        </w:rPr>
        <w:t xml:space="preserve"> –– SIMPLIFIED ACQUISITION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13.1 –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13.106-3 Award and documentation.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13.2 – ACTIONS AT OR BELOW THE MICRO–PURCHASE THRESHOLD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213.270 Use of the Governmentwide commercial purchase card.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13.3 –– SIMPLIFIED ACQUISITION METHODS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13.301 Government–wide commercial purchase card.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3.1.dita#DARS_SUBPART_13.1" Type="http://schemas.openxmlformats.org/officeDocument/2006/relationships/hyperlink" Id="rId4"/>
    <Relationship TargetMode="External" Target="13.1063.dita#DARS_13.1063" Type="http://schemas.openxmlformats.org/officeDocument/2006/relationships/hyperlink" Id="rId5"/>
    <Relationship TargetMode="External" Target="SUBPART_13.2.dita#DARS_SUBPART_13.2" Type="http://schemas.openxmlformats.org/officeDocument/2006/relationships/hyperlink" Id="rId6"/>
    <Relationship TargetMode="External" Target="213.270.dita#DARS_213.270" Type="http://schemas.openxmlformats.org/officeDocument/2006/relationships/hyperlink" Id="rId7"/>
    <Relationship TargetMode="External" Target="SUBPART_13.3.dita#DARS_SUBPART_13.3" Type="http://schemas.openxmlformats.org/officeDocument/2006/relationships/hyperlink" Id="rId8"/>
    <Relationship TargetMode="External" Target="13.301.dita#DARS_13.301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