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201.303</w:t>
      </w:r>
      <w:r>
        <w:rPr>
          <w:rFonts w:ascii="Times New Roman" w:hAnsi="Times New Roman"/>
          <w:color w:val="000000"/>
          <w:sz w:val="31"/>
        </w:rPr>
        <w:t xml:space="preserve"> Publication and codification.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 To the extent practical all DARS text (whether implemental or supplemental) will be numbered as if it were implemented in accordance with DFARS Subpart 201.303-Publication and Codification. Supplemental numbering will only be used when the text cannot be integrated intelligibly with its FAR or DFARS counterpart. DARS supplements shall parallel the FAR and/or DFARS, with the exception that supplemental sections are numbered using 90 or (S-90). Parts, subparts, sections, or subsections are supplemented by the addition of a number of 90 and up. Lower divisions are supplemented by the addition of a number of (S-90).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table shown in DFARS Subpart 201.303(D), DFARS Numbering provides an example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 the numbering system. Sample Table with DARS Numbering below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Table 1-</w:t>
      </w:r>
      <w:r>
        <w:rPr>
          <w:rFonts w:ascii="Times New Roman" w:hAnsi="Times New Roman"/>
          <w:b/>
          <w:i w:val="false"/>
          <w:color w:val="000000"/>
          <w:sz w:val="22"/>
        </w:rPr>
        <w:t>2</w:t>
      </w:r>
      <w:r>
        <w:rPr>
          <w:rFonts w:ascii="Times New Roman" w:hAnsi="Times New Roman"/>
          <w:b/>
          <w:i w:val="false"/>
          <w:color w:val="000000"/>
          <w:sz w:val="22"/>
        </w:rPr>
        <w:t>DARS Numbering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4"/>
        <w:gridCol w:w="3394"/>
        <w:gridCol w:w="3393"/>
        <w:gridCol w:w="3393"/>
      </w:tblGrid>
      <w:tr>
        <w:trPr>
          <w:trHeight w:val="100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Implements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As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Supplements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As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DARS Supplements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DFARS As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219.70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219.70-90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19.5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219.570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219.570-90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19.501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219.501-70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219.501-70-90</w:t>
            </w:r>
          </w:p>
        </w:tc>
      </w:tr>
      <w:tr>
        <w:trPr>
          <w:trHeight w:val="52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19.501-1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219.501-1-70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219.501-1-70-90</w:t>
            </w:r>
          </w:p>
        </w:tc>
      </w:tr>
      <w:tr>
        <w:trPr>
          <w:trHeight w:val="79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19.501-1(a)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219.501-1(a)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219.501-1(a)(S-70)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219.501-19(a)(S-70)(S-90)</w:t>
            </w:r>
          </w:p>
        </w:tc>
      </w:tr>
      <w:tr>
        <w:trPr>
          <w:trHeight w:val="795" w:hRule="atLeast"/>
        </w:trPr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19.501-1(a)(1)</w:t>
            </w:r>
          </w:p>
        </w:tc>
        <w:tc>
          <w:tcPr>
            <w:tcW w:w="339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219.501-1(a)(1)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219.501-1(a)(1)(S-70)</w:t>
            </w:r>
          </w:p>
        </w:tc>
        <w:tc>
          <w:tcPr>
            <w:tcW w:w="339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219.501-1(a)(1)(S-70)(S-90)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Sections under subparts will be enumerated using FAR or DFAR numbering conventions, depending on whether the FAR or DFAR is being implemented or supplemented.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