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**ID__DARS_15.4063__ID**</w:t>
      </w:r>
    </w:p>
    <w:p>
      <w:pPr>
        <w:pStyle w:val="Heading3"/>
        <w:spacing w:after="199"/>
        <w:ind w:left="120"/>
        <w:jc w:val="left"/>
      </w:pPr>
      <w:r>
        <w:rPr>
          <w:rFonts w:ascii="Times New Roman" w:hAnsi="Times New Roman"/>
          <w:color w:val="000000"/>
          <w:sz w:val="31"/>
        </w:rPr>
        <w:t>15.406-3</w:t>
      </w:r>
      <w:r>
        <w:rPr>
          <w:rFonts w:ascii="Times New Roman" w:hAnsi="Times New Roman"/>
          <w:color w:val="000000"/>
          <w:sz w:val="31"/>
        </w:rPr>
        <w:t xml:space="preserve"> Documenting the negotiation.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Price Negotiation Memorandum</w:t>
      </w:r>
      <w:r>
        <w:rPr>
          <w:rFonts w:ascii="Times New Roman" w:hAnsi="Times New Roman"/>
          <w:b w:val="false"/>
          <w:i w:val="false"/>
          <w:color w:val="000000"/>
          <w:sz w:val="22"/>
        </w:rPr>
        <w:t>. A Price Negotiation Memorandum (PNM) shall be prepared for contracting actions as described below and included in the official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A PNM is not required for orders for pre-priced supplies or services placed against established single award indefinite delivery contracts, nor and actions at or below the micro-purchase threshold. The PNM fulfills the documentation requirements in FAR 15.406-3 and provides the determination of fair and reasonable pricing. The PNM templates are located in </w:t>
      </w:r>
      <w:hyperlink r:id="rId4">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15.406-3(S-90). See DARS 13.106-3 (S-90) for PNM requirements for the I/Q/O process or the North Atlantic Treaty Organization (NATO) Allied Long Lines Agency (ALLA)/National Allied Long Lines Agency (NALLA) circuit demand process under the threshold for certain commercial items identified at FAR 13.500(a).</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DITCO Cost/Price Analyst Involvement</w:t>
      </w:r>
    </w:p>
    <w:p>
      <w:pPr>
        <w:pBdr>
          <w:top w:space="5"/>
          <w:left w:space="5"/>
          <w:bottom w:space="5"/>
          <w:right w:space="5"/>
        </w:pBdr>
        <w:spacing w:after="0"/>
        <w:ind w:left="225"/>
        <w:jc w:val="left"/>
      </w:pPr>
      <w:r>
        <w:rPr>
          <w:rFonts w:ascii="Times New Roman" w:hAnsi="Times New Roman"/>
          <w:b w:val="false"/>
          <w:i w:val="false"/>
          <w:color w:val="000000"/>
          <w:sz w:val="22"/>
        </w:rPr>
        <w:t>(1) Pre-PNMs, Post-PNMs, and IDIQ Order PNMs valued over $10M shall be routed electronically to the Cost and Pricing Branch for review/coordination prior to approval (See</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Document Approval Signature Routing Procedures</w:t>
        </w:r>
      </w:hyperlink>
      <w:r>
        <w:rPr>
          <w:rFonts w:ascii="Times New Roman" w:hAnsi="Times New Roman"/>
          <w:b w:val="false"/>
          <w:i w:val="false"/>
          <w:color w:val="000000"/>
          <w:sz w:val="22"/>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 determination.</w:t>
      </w:r>
    </w:p>
    <w:p>
      <w:pPr>
        <w:pBdr>
          <w:top w:space="5"/>
          <w:left w:space="5"/>
          <w:bottom w:space="5"/>
          <w:right w:space="5"/>
        </w:pBdr>
        <w:spacing w:after="0"/>
        <w:ind w:left="225"/>
        <w:jc w:val="left"/>
      </w:pPr>
      <w:r>
        <w:rPr>
          <w:rFonts w:ascii="Times New Roman" w:hAnsi="Times New Roman"/>
          <w:b w:val="false"/>
          <w:i w:val="false"/>
          <w:color w:val="000000"/>
          <w:sz w:val="22"/>
        </w:rPr>
        <w:t>(2) Pre-PNMs valued over $10M, shall be prepared in conjunction with the DITCO Cost/Price Analyst. The Cost/Price Analyst shall assist the contracting officer in evaluation of the pricing proposal and aid in the development of the pre-negotiation objective and Pre-PNM; The Contract Price/Cost Analyst shall also support negotiations and review the Post-PNM, prior to approval, as requested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(3) In all instances where the Cost and Pricing Branch has provided assistance to the contracting officer in the development of the PNM—including but not limited to, the evaluation of cost proposals, calculation of the Government negotiation position and input to the relevant PNM documents—a copy of the signed and approved Post-PNM shall be routed to the Cost and Pricing Branch Chief via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DITCO Scott - Cost and Pricing Branch Mailbox</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PNM Approval Authority</w:t>
      </w:r>
      <w:r>
        <w:rPr>
          <w:rFonts w:ascii="Times New Roman" w:hAnsi="Times New Roman"/>
          <w:b w:val="false"/>
          <w:i w:val="false"/>
          <w:color w:val="000000"/>
          <w:sz w:val="22"/>
        </w:rPr>
        <w:t>. The approval authority for Pre/Post PNMs negotiation objectives and modification PNMs negotiation objectives is the contracting officer.</w:t>
      </w:r>
    </w:p>
    <w:p>
      <w:pPr>
        <w:pBdr>
          <w:top w:space="5"/>
          <w:left w:space="5"/>
          <w:bottom w:space="5"/>
          <w:right w:space="5"/>
        </w:pBdr>
        <w:spacing w:after="0"/>
        <w:ind w:left="225"/>
        <w:jc w:val="center"/>
      </w:pPr>
      <w:r>
        <w:rPr>
          <w:rFonts w:ascii="Times New Roman" w:hAnsi="Times New Roman"/>
          <w:b/>
          <w:i w:val="false"/>
          <w:color w:val="000000"/>
          <w:sz w:val="22"/>
        </w:rPr>
        <w:t>Table 15-2 Competitive Acquisitions PNM</w:t>
      </w:r>
      <w:r>
        <w:rPr>
          <w:rFonts w:ascii="Times New Roman" w:hAnsi="Times New Roman"/>
          <w:b/>
          <w:i w:val="false"/>
          <w:color w:val="000000"/>
          <w:sz w:val="22"/>
        </w:rPr>
        <w:t>Format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10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(when the Contracting</w:t>
            </w:r>
          </w:p>
          <w:p>
            <w:pPr>
              <w:pBdr>
                <w:top w:space="5"/>
                <w:left w:space="5"/>
                <w:bottom w:space="5"/>
                <w:right w:space="5"/>
              </w:pBdr>
              <w:spacing w:after="0"/>
              <w:ind w:left="240"/>
              <w:jc w:val="left"/>
            </w:pPr>
            <w:r>
              <w:rPr>
                <w:rFonts w:ascii="Times New Roman" w:hAnsi="Times New Roman"/>
                <w:b w:val="false"/>
                <w:i w:val="false"/>
                <w:color w:val="000000"/>
                <w:sz w:val="22"/>
              </w:rPr>
              <w:t>Officer is the SSA)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Schedule orders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PNM</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orders with Pre-established labor rates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PNM</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(when the SSA is not the Contracting Officer)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Decision Document (SSDD)</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Part 8/16 Competitive Supply Acquisitions &lt; or equal to the SAT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Template for Part 8/16 Competitive Supply Acquisitions &lt; or equal to SAT</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only 1 offer received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bl>
    <w:p>
      <w:pPr>
        <w:pBdr>
          <w:top w:space="5"/>
          <w:left w:space="5"/>
          <w:bottom w:space="5"/>
          <w:right w:space="5"/>
        </w:pBdr>
        <w:spacing w:after="0"/>
        <w:ind w:left="225"/>
        <w:jc w:val="center"/>
      </w:pPr>
      <w:r>
        <w:rPr>
          <w:rFonts w:ascii="Times New Roman" w:hAnsi="Times New Roman"/>
          <w:b/>
          <w:i w:val="false"/>
          <w:color w:val="000000"/>
          <w:sz w:val="22"/>
        </w:rPr>
        <w:t>Table 15-3 Sole Source Acquisitions PNM</w:t>
      </w:r>
      <w:r>
        <w:rPr>
          <w:rFonts w:ascii="Times New Roman" w:hAnsi="Times New Roman"/>
          <w:b/>
          <w:i w:val="false"/>
          <w:color w:val="000000"/>
          <w:sz w:val="22"/>
        </w:rPr>
        <w:t>Format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or 8(a) at or below SAT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GSA Schedule orders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IDIQ orders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PNM</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Market or 8(a) above SAT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 and Post-PNM</w:t>
            </w:r>
          </w:p>
        </w:tc>
      </w:tr>
    </w:tbl>
    <w:p>
      <w:pPr>
        <w:pBdr>
          <w:top w:space="5"/>
          <w:left w:space="5"/>
          <w:bottom w:space="5"/>
          <w:right w:space="5"/>
        </w:pBdr>
        <w:spacing w:after="0"/>
        <w:ind w:left="225"/>
        <w:jc w:val="center"/>
      </w:pPr>
      <w:r>
        <w:rPr>
          <w:rFonts w:ascii="Times New Roman" w:hAnsi="Times New Roman"/>
          <w:b/>
          <w:i w:val="false"/>
          <w:color w:val="000000"/>
          <w:sz w:val="22"/>
        </w:rPr>
        <w:t>Table 15-4 Modifications PNM Format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MODIFICATION TYPE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FORMAT</w:t>
            </w:r>
          </w:p>
        </w:tc>
      </w:tr>
      <w:tr>
        <w:trPr>
          <w:trHeight w:val="127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Modifications against previously competed actions w/</w:t>
            </w:r>
          </w:p>
          <w:p>
            <w:pPr>
              <w:pBdr>
                <w:top w:space="5"/>
                <w:left w:space="5"/>
                <w:bottom w:space="5"/>
                <w:right w:space="5"/>
              </w:pBdr>
              <w:spacing w:after="0"/>
              <w:ind w:left="240"/>
              <w:jc w:val="left"/>
            </w:pPr>
            <w:r>
              <w:rPr>
                <w:rFonts w:ascii="Times New Roman" w:hAnsi="Times New Roman"/>
                <w:b w:val="false"/>
                <w:i w:val="false"/>
                <w:color w:val="000000"/>
                <w:sz w:val="22"/>
              </w:rPr>
              <w:t>Pre-established rates (e.g., labor rates)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 PNM</w:t>
            </w:r>
          </w:p>
        </w:tc>
      </w:tr>
      <w:tr>
        <w:trPr>
          <w:trHeight w:val="10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Modifications w/ Pre-</w:t>
            </w:r>
          </w:p>
          <w:p>
            <w:pPr>
              <w:pBdr>
                <w:top w:space="5"/>
                <w:left w:space="5"/>
                <w:bottom w:space="5"/>
                <w:right w:space="5"/>
              </w:pBdr>
              <w:spacing w:after="0"/>
              <w:ind w:left="240"/>
              <w:jc w:val="left"/>
            </w:pPr>
            <w:r>
              <w:rPr>
                <w:rFonts w:ascii="Times New Roman" w:hAnsi="Times New Roman"/>
                <w:b w:val="false"/>
                <w:i w:val="false"/>
                <w:color w:val="000000"/>
                <w:sz w:val="22"/>
              </w:rPr>
              <w:t>established rates (e.g., labor rates) – sole source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 PNM</w:t>
            </w:r>
          </w:p>
        </w:tc>
      </w:tr>
      <w:tr>
        <w:trPr>
          <w:trHeight w:val="10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Pricing Modifications (e.g.,</w:t>
            </w:r>
          </w:p>
          <w:p>
            <w:pPr>
              <w:pBdr>
                <w:top w:space="5"/>
                <w:left w:space="5"/>
                <w:bottom w:space="5"/>
                <w:right w:space="5"/>
              </w:pBdr>
              <w:spacing w:after="0"/>
              <w:ind w:left="240"/>
              <w:jc w:val="left"/>
            </w:pPr>
            <w:r>
              <w:rPr>
                <w:rFonts w:ascii="Times New Roman" w:hAnsi="Times New Roman"/>
                <w:b w:val="false"/>
                <w:i w:val="false"/>
                <w:color w:val="000000"/>
                <w:sz w:val="22"/>
              </w:rPr>
              <w:t>cost type)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Pre-PNM and Post-PNM</w:t>
            </w:r>
          </w:p>
        </w:tc>
      </w:tr>
    </w:tbl>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isa.deps.mil/org/PL2/Pages/DITCORefs.aspx" Type="http://schemas.openxmlformats.org/officeDocument/2006/relationships/hyperlink" Id="rId4"/>
    <Relationship TargetMode="External" Target="https://www.ditco.disa.mil/DITCOContractingTemplates/" Type="http://schemas.openxmlformats.org/officeDocument/2006/relationships/hyperlink" Id="rId5"/>
    <Relationship TargetMode="External" Target="mailto:disa.scott.ditco.mbx.cost-and-pricing-branch-pl42@mail.mil"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